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0.pdf" ContentType="application/pdf"/>
  <Override PartName="/word/media/rId80.pdf" ContentType="application/pdf"/>
  <Override PartName="/word/media/rId99.pdf" ContentType="application/pdf"/>
  <Override PartName="/word/media/rId104.pdf" ContentType="application/pdf"/>
  <Override PartName="/word/media/rId10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w:t>
      </w:r>
      <w:r>
        <w:t xml:space="preserve"> </w:t>
      </w:r>
      <w:r>
        <w:t xml:space="preserve">the</w:t>
      </w:r>
      <w:r>
        <w:t xml:space="preserve"> </w:t>
      </w:r>
      <w:r>
        <w:t xml:space="preserve">skin</w:t>
      </w:r>
    </w:p>
    <w:p>
      <w:pPr>
        <w:pStyle w:val="Subtitle"/>
      </w:pPr>
      <w:r>
        <w:t xml:space="preserve">Early-life</w:t>
      </w:r>
      <w:r>
        <w:t xml:space="preserve"> </w:t>
      </w:r>
      <w:r>
        <w:t xml:space="preserve">stress</w:t>
      </w:r>
      <w:r>
        <w:t xml:space="preserve"> </w:t>
      </w:r>
      <w:r>
        <w:t xml:space="preserve">exposure</w:t>
      </w:r>
      <w:r>
        <w:t xml:space="preserve"> </w:t>
      </w:r>
      <w:r>
        <w:t xml:space="preserve">and</w:t>
      </w:r>
      <w:r>
        <w:t xml:space="preserve"> </w:t>
      </w:r>
      <w:r>
        <w:t xml:space="preserve">the</w:t>
      </w:r>
      <w:r>
        <w:t xml:space="preserve"> </w:t>
      </w:r>
      <w:r>
        <w:t xml:space="preserve">co-occurrence</w:t>
      </w:r>
      <w:r>
        <w:t xml:space="preserve"> </w:t>
      </w:r>
      <w:r>
        <w:t xml:space="preserve">of</w:t>
      </w:r>
      <w:r>
        <w:t xml:space="preserve"> </w:t>
      </w:r>
      <w:r>
        <w:t xml:space="preserve">mental</w:t>
      </w:r>
      <w:r>
        <w:t xml:space="preserve"> </w:t>
      </w:r>
      <w:r>
        <w:t xml:space="preserve">and</w:t>
      </w:r>
      <w:r>
        <w:t xml:space="preserve"> </w:t>
      </w:r>
      <w:r>
        <w:t xml:space="preserve">physical</w:t>
      </w:r>
      <w:r>
        <w:t xml:space="preserve"> </w:t>
      </w:r>
      <w:r>
        <w:t xml:space="preserve">health</w:t>
      </w:r>
      <w:r>
        <w:t xml:space="preserve"> </w:t>
      </w:r>
      <w:r>
        <w:t xml:space="preserve">problems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7" w:name="preface"/>
    <w:p>
      <w:pPr>
        <w:pStyle w:val="Heading1"/>
      </w:pPr>
      <w:r>
        <w:t xml:space="preserve">PREFACE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1" name="Picture"/>
                  <a:graphic>
                    <a:graphicData uri="http://schemas.openxmlformats.org/drawingml/2006/picture">
                      <pic:pic>
                        <pic:nvPicPr>
                          <pic:cNvPr descr="/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Start w:id="23" w:name="author"/>
    <w:p>
      <w:pPr>
        <w:pStyle w:val="Heading4"/>
      </w:pPr>
      <w:r>
        <w:t xml:space="preserve">AUTHOR</w:t>
      </w:r>
    </w:p>
    <w:p>
      <w:pPr>
        <w:pStyle w:val="FirstParagraph"/>
      </w:pPr>
      <w:r>
        <w:t xml:space="preserve">      Serena Defina</w:t>
      </w:r>
    </w:p>
    <w:bookmarkEnd w:id="23"/>
    <w:bookmarkStart w:id="24" w:name="promotor"/>
    <w:p>
      <w:pPr>
        <w:pStyle w:val="Heading4"/>
      </w:pPr>
      <w:r>
        <w:t xml:space="preserve">PROMOTOR</w:t>
      </w:r>
    </w:p>
    <w:p>
      <w:pPr>
        <w:pStyle w:val="FirstParagraph"/>
      </w:pPr>
      <w:r>
        <w:t xml:space="preserve">      Henning Tiemier</w:t>
      </w:r>
    </w:p>
    <w:bookmarkEnd w:id="24"/>
    <w:bookmarkStart w:id="25" w:name="co-promotors"/>
    <w:p>
      <w:pPr>
        <w:pStyle w:val="Heading4"/>
      </w:pPr>
      <w:r>
        <w:t xml:space="preserve">CO-PROMOTORS</w:t>
      </w:r>
    </w:p>
    <w:p>
      <w:pPr>
        <w:pStyle w:val="FirstParagraph"/>
      </w:pPr>
      <w:r>
        <w:t xml:space="preserve">      Charlotte A.M. Cecil</w:t>
      </w:r>
      <w:r>
        <w:br/>
      </w:r>
      <w:r>
        <w:t xml:space="preserve">      Janine F. Felix</w:t>
      </w:r>
    </w:p>
    <w:p>
      <w:pPr>
        <w:pStyle w:val="BodyText"/>
      </w:pPr>
      <w:r>
        <w:rPr>
          <w:iCs/>
          <w:i/>
        </w:rPr>
        <w:t xml:space="preserve">“</w:t>
      </w:r>
      <w:r>
        <w:rPr>
          <w:iCs/>
          <w:i/>
        </w:rPr>
        <w:t xml:space="preserve">In the depth of winter, I found there was, within me, an invincible summer.</w:t>
      </w:r>
      <w:r>
        <w:rPr>
          <w:iCs/>
          <w:i/>
        </w:rPr>
        <w:t xml:space="preserve">”</w:t>
      </w:r>
      <w:r>
        <w:t xml:space="preserve"> </w:t>
      </w:r>
      <w:r>
        <w:t xml:space="preserve">Albert Camus – Summer (1954)</w:t>
      </w:r>
    </w:p>
    <w:bookmarkEnd w:id="25"/>
    <w:bookmarkStart w:id="26" w:name="aknowledgements"/>
    <w:p>
      <w:pPr>
        <w:pStyle w:val="Heading2"/>
      </w:pPr>
      <w:r>
        <w:t xml:space="preserve">Aknowledgements</w:t>
      </w:r>
    </w:p>
    <w:p>
      <w:pPr>
        <w:pStyle w:val="FirstParagraph"/>
      </w:pPr>
      <w:r>
        <w:t xml:space="preserve">TODO</w:t>
      </w:r>
    </w:p>
    <w:bookmarkEnd w:id="26"/>
    <w:bookmarkEnd w:id="27"/>
    <w:bookmarkStart w:id="72" w:name="sec-chapter1"/>
    <w:p>
      <w:pPr>
        <w:pStyle w:val="Heading1"/>
      </w:pPr>
      <w:r>
        <w:t xml:space="preserve">1. INTRODUCTION</w:t>
      </w:r>
    </w:p>
    <w:bookmarkStart w:id="28"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Cs/>
          <w:i/>
        </w:rPr>
        <w:t xml:space="preserve">“</w:t>
      </w:r>
      <w:r>
        <w:rPr>
          <w:iCs/>
          <w:i/>
        </w:rPr>
        <w:t xml:space="preserve">critical</w:t>
      </w:r>
      <w:r>
        <w:rPr>
          <w:iCs/>
          <w:i/>
        </w:rPr>
        <w:t xml:space="preserve">”</w:t>
      </w:r>
      <w:r>
        <w:rPr>
          <w:iCs/>
          <w:i/>
        </w:rPr>
        <w:t xml:space="preserve"> </w:t>
      </w:r>
      <w:r>
        <w:rPr>
          <w:iCs/>
          <w:i/>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w:t>
      </w:r>
      <w:r>
        <w:t xml:space="preserve">Early-Life Stress</w:t>
      </w:r>
      <w:r>
        <w:t xml:space="preserve">”</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w:t>
      </w:r>
      <w:r>
        <w:t xml:space="preserve">childhood trauma</w:t>
      </w:r>
      <w:r>
        <w:t xml:space="preserve">”</w:t>
      </w:r>
      <w:r>
        <w:t xml:space="preserve">,</w:t>
      </w:r>
      <w:r>
        <w:t xml:space="preserve"> </w:t>
      </w:r>
      <w:r>
        <w:t xml:space="preserve">“</w:t>
      </w:r>
      <w:r>
        <w:t xml:space="preserve">maltreatment</w:t>
      </w:r>
      <w:r>
        <w:t xml:space="preserve">”</w:t>
      </w:r>
      <w:r>
        <w:t xml:space="preserve">,</w:t>
      </w:r>
      <w:r>
        <w:t xml:space="preserve"> </w:t>
      </w:r>
      <w:r>
        <w:t xml:space="preserve">“</w:t>
      </w:r>
      <w:r>
        <w:t xml:space="preserve">early adversity</w:t>
      </w:r>
      <w:r>
        <w:t xml:space="preserve">”</w:t>
      </w:r>
      <w:r>
        <w:t xml:space="preserve">, or</w:t>
      </w:r>
      <w:r>
        <w:t xml:space="preserve"> </w:t>
      </w:r>
      <w:r>
        <w:t xml:space="preserve">“</w:t>
      </w:r>
      <w:r>
        <w:t xml:space="preserve">adverse childhood experiences</w:t>
      </w:r>
      <w:r>
        <w:t xml:space="preserve">”</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8"/>
    <w:bookmarkStart w:id="29"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studies reported a co-occurrence of depression with cardio-metabolic conditions, many potential mechanisms have been proposed to explain it [Milaneschi]. for example they could share common cause</w:t>
      </w:r>
    </w:p>
    <w:p>
      <w:pPr>
        <w:pStyle w:val="BodyText"/>
      </w:pPr>
      <w:r>
        <w:t xml:space="preserve">More recent meta-analytic estimates, leveraging both cross-sectional and longitudinal studies, further suggest a bidirectional relationship between depression and cardio-metabolic health problems</w:t>
      </w:r>
      <w:r>
        <w:t xml:space="preserve"> </w:t>
      </w:r>
      <w:r>
        <w:t xml:space="preserve">(Mannan et al., 2016; Zhou et al., 2024)</w:t>
      </w:r>
      <w:r>
        <w:t xml:space="preserve">.</w:t>
      </w:r>
    </w:p>
    <w:bookmarkEnd w:id="29"/>
    <w:bookmarkStart w:id="34" w:name="an-integrative-approach"/>
    <w:p>
      <w:pPr>
        <w:pStyle w:val="Heading2"/>
      </w:pPr>
      <w:r>
        <w:t xml:space="preserve">1.3 An integrative approach</w:t>
      </w:r>
    </w:p>
    <w:p>
      <w:pPr>
        <w:pStyle w:val="FirstParagraph"/>
      </w:pPr>
      <w:r>
        <w:t xml:space="preserve">So far, we have described a triangle of relationships - i.e., between</w:t>
      </w:r>
      <w:r>
        <w:t xml:space="preserve"> </w:t>
      </w:r>
      <w:r>
        <w:rPr>
          <w:iCs/>
          <w:i/>
        </w:rPr>
        <w:t xml:space="preserve">a)</w:t>
      </w:r>
      <w:r>
        <w:t xml:space="preserve"> </w:t>
      </w:r>
      <w:r>
        <w:t xml:space="preserve">ELS and mental health,</w:t>
      </w:r>
      <w:r>
        <w:t xml:space="preserve"> </w:t>
      </w:r>
      <w:r>
        <w:rPr>
          <w:iCs/>
          <w:i/>
        </w:rPr>
        <w:t xml:space="preserve">b)</w:t>
      </w:r>
      <w:r>
        <w:t xml:space="preserve"> </w:t>
      </w:r>
      <w:r>
        <w:t xml:space="preserve">ELS and cardio-metabolic health, and</w:t>
      </w:r>
      <w:r>
        <w:t xml:space="preserve"> </w:t>
      </w:r>
      <w:r>
        <w:rPr>
          <w:iCs/>
          <w:i/>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rPr>
          <w:bCs/>
          <w:b/>
        </w:rPr>
        <w:t xml:space="preserve">[REF]</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ook w:firstRow="0" w:lastRow="0" w:firstColumn="0" w:lastColumn="0" w:noHBand="0" w:noVBand="0" w:val="0000"/>
        <w:jc w:val="start"/>
        <w:tblLayout w:type="fixed"/>
      </w:tblPr>
      <w:tblGrid>
        <w:gridCol w:w="7920"/>
      </w:tblGrid>
      <w:tr>
        <w:tc>
          <w:tcPr/>
          <w:bookmarkStart w:id="33" w:name="fig-thesis-summary"/>
          <w:p>
            <w:pPr>
              <w:pStyle w:val="Compact"/>
              <w:jc w:val="center"/>
            </w:pPr>
            <w:r>
              <w:drawing>
                <wp:inline>
                  <wp:extent cx="5334000" cy="3271589"/>
                  <wp:effectExtent b="0" l="0" r="0" t="0"/>
                  <wp:docPr descr="" title="" id="31" name="Picture"/>
                  <a:graphic>
                    <a:graphicData uri="http://schemas.openxmlformats.org/drawingml/2006/picture">
                      <pic:pic>
                        <pic:nvPicPr>
                          <pic:cNvPr descr="1.Introduction/F1_thesissumm.pdf" id="32" name="Picture"/>
                          <pic:cNvPicPr>
                            <a:picLocks noChangeArrowheads="1" noChangeAspect="1"/>
                          </pic:cNvPicPr>
                        </pic:nvPicPr>
                        <pic:blipFill>
                          <a:blip r:embed="rId30"/>
                          <a:stretch>
                            <a:fillRect/>
                          </a:stretch>
                        </pic:blipFill>
                        <pic:spPr bwMode="auto">
                          <a:xfrm>
                            <a:off x="0" y="0"/>
                            <a:ext cx="5334000" cy="3271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Cs/>
                <w:b/>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3"/>
        </w:tc>
      </w:tr>
    </w:tbl>
    <w:p>
      <w:pPr>
        <w:pStyle w:val="BodyText"/>
      </w:pPr>
      <w:r>
        <w:t xml:space="preserve">However, there are some considerations to note, before these findings could be effectively translated into clinical practice.</w:t>
      </w:r>
    </w:p>
    <w:p>
      <w:pPr>
        <w:pStyle w:val="BodyText"/>
      </w:pPr>
      <w:r>
        <w:t xml:space="preserve">Firstly, as briefly hinted above, the literature is very heterogenous in its definition of ELS. Most studies have focused on neglect, physical and sexual abuse, though it is much more complicated construct than that. Only a few used cumulative scores.</w:t>
      </w:r>
    </w:p>
    <w:p>
      <w:pPr>
        <w:pStyle w:val="BodyText"/>
      </w:pPr>
      <w:r>
        <w:t xml:space="preserve">Secondly, most studies assess these relationships in isolation, or as part of much broader constructs…</w:t>
      </w:r>
    </w:p>
    <w:p>
      <w:pPr>
        <w:pStyle w:val="BodyText"/>
      </w:pPr>
      <w:r>
        <w:t xml:space="preserve">Lastly, the overwhelming majority of existing studies has been conducted in adult populations, which warrants two important implications. The first one is technical: the proposed relationship between ELS and adult psycho-physical health relies heavily on retrospective reports of ELS exposure, which may have introduced recall bias, unrealistically inflating these association estimates. The second one is practical: if it was indeed true that ELS wields a causal (i.e., prospective) effect on later psycho-physical health problems, when does this effect begin? How early can ELS be used to identify people at higher risk for depression and/or cardio-metabolic disease?</w:t>
      </w:r>
      <w:r>
        <w:t xml:space="preserve"> </w:t>
      </w:r>
      <w:r>
        <w:t xml:space="preserve">Similarly, studies investigating bidirectional relationships between mental and physical health, even though longitudinal, are largely limited to adulthood though both depression and cardio-metabolic health problems find their roots very early in development.</w:t>
      </w:r>
    </w:p>
    <w:bookmarkEnd w:id="34"/>
    <w:bookmarkStart w:id="35"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 We will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Part 1 of this thesis will focus on characterising the prospective relationship between ELS and psycho-physical health in adolescence.</w:t>
      </w:r>
      <w:r>
        <w:t xml:space="preserve"> </w:t>
      </w:r>
      <w:hyperlink w:anchor="sec-chapter1">
        <w:r>
          <w:rPr>
            <w:rStyle w:val="Hyperlink"/>
          </w:rPr>
          <w:t xml:space="preserve">Chapter 1</w:t>
        </w:r>
      </w:hyperlink>
      <w:r>
        <w:t xml:space="preserve"> </w:t>
      </w:r>
      <w:r>
        <w:t xml:space="preserve">examines the relationship between prenatal (i.e. in utero) and postnatal (i.e. childhood) cumulative exposure to ELS and adolescent internalizing symptoms, adiposity, and their comorbity.</w:t>
      </w:r>
      <w:r>
        <w:t xml:space="preserve"> </w:t>
      </w:r>
      <w:hyperlink w:anchor="sec-chapter2">
        <w:r>
          <w:rPr>
            <w:rStyle w:val="Hyperlink"/>
          </w:rPr>
          <w:t xml:space="preserve">Chapter 2</w:t>
        </w:r>
      </w:hyperlink>
      <w:r>
        <w:t xml:space="preserve"> </w:t>
      </w:r>
      <w:r>
        <w:t xml:space="preserve">further explores wether behavioral factors such as sleep, diet and pysical activity may moderate the associations established in Chapter 1.</w:t>
      </w:r>
      <w:r>
        <w:t xml:space="preserve"> </w:t>
      </w:r>
      <w:hyperlink w:anchor="sec-chapter3">
        <w:r>
          <w:rPr>
            <w:rStyle w:val="Hyperlink"/>
          </w:rPr>
          <w:t xml:space="preserve">Chapter 3</w:t>
        </w:r>
      </w:hyperlink>
      <w:r>
        <w:t xml:space="preserve"> </w:t>
      </w:r>
      <w:r>
        <w:t xml:space="preserve">and</w:t>
      </w:r>
      <w:r>
        <w:t xml:space="preserve"> </w:t>
      </w:r>
      <w:hyperlink w:anchor="sec-chapter4">
        <w:r>
          <w:rPr>
            <w:rStyle w:val="Hyperlink"/>
          </w:rPr>
          <w:t xml:space="preserve">Chapter 4</w:t>
        </w:r>
      </w:hyperlink>
      <w:r>
        <w:t xml:space="preserve"> </w:t>
      </w:r>
      <w:r>
        <w:t xml:space="preserve">take a closer look a the potential</w:t>
      </w:r>
      <w:r>
        <w:t xml:space="preserve"> </w:t>
      </w:r>
      <w:r>
        <w:t xml:space="preserve">“</w:t>
      </w:r>
      <w:r>
        <w:t xml:space="preserve">biological scars</w:t>
      </w:r>
      <w:r>
        <w:t xml:space="preserve">”</w:t>
      </w:r>
      <w:r>
        <w:t xml:space="preserve"> </w:t>
      </w:r>
      <w:r>
        <w:t xml:space="preserve">that ELS may leave behind already on the brain and the heart respectively.</w:t>
      </w:r>
    </w:p>
    <w:p>
      <w:pPr>
        <w:pStyle w:val="BodyText"/>
      </w:pPr>
      <w:r>
        <w:t xml:space="preserve">Part 2 of the thesis, follows up on the reciprocal relationship between mental and physical health across childhood and adolscence. In particular</w:t>
      </w:r>
      <w:r>
        <w:t xml:space="preserve"> </w:t>
      </w:r>
      <w:hyperlink w:anchor="sec-chapter5">
        <w:r>
          <w:rPr>
            <w:rStyle w:val="Hyperlink"/>
          </w:rPr>
          <w:t xml:space="preserve">Chapter 5</w:t>
        </w:r>
      </w:hyperlink>
      <w:r>
        <w:t xml:space="preserve"> </w:t>
      </w:r>
      <w:r>
        <w:t xml:space="preserve">examins the longitudinal co-development of depressive symptoms and several markers of cardio-metabolic health from childhood to early adulthood.</w:t>
      </w:r>
      <w:r>
        <w:t xml:space="preserve"> </w:t>
      </w:r>
      <w:r>
        <w:rPr>
          <w:bCs/>
          <w:b/>
        </w:rPr>
        <w:t xml:space="preserve">Chapter TBD</w:t>
      </w:r>
      <w:r>
        <w:t xml:space="preserve"> </w:t>
      </w:r>
      <w:r>
        <w:t xml:space="preserve">finally looks at the relationship between the developing brain and arterial health as an early marker of cardio-vascular health.</w:t>
      </w:r>
    </w:p>
    <w:bookmarkEnd w:id="35"/>
    <w:bookmarkStart w:id="71" w:name="references"/>
    <w:p>
      <w:pPr>
        <w:pStyle w:val="Heading2"/>
      </w:pPr>
      <w:r>
        <w:t xml:space="preserve">References</w:t>
      </w:r>
    </w:p>
    <w:bookmarkStart w:id="70" w:name="refs--1"/>
    <w:bookmarkStart w:id="37" w:name="ref-Danese2014"/>
    <w:p>
      <w:pPr>
        <w:pStyle w:val="FirstParagraph"/>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37"/>
    <w:bookmarkStart w:id="39" w:name="ref-Engel1977"/>
    <w:p>
      <w:pPr>
        <w:pStyle w:val="BodyText"/>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38">
        <w:r>
          <w:rPr>
            <w:rStyle w:val="Hyperlink"/>
          </w:rPr>
          <w:t xml:space="preserve">https://doi.org/10.1126/science.847460</w:t>
        </w:r>
      </w:hyperlink>
    </w:p>
    <w:bookmarkEnd w:id="39"/>
    <w:bookmarkStart w:id="41"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0">
        <w:r>
          <w:rPr>
            <w:rStyle w:val="Hyperlink"/>
          </w:rPr>
          <w:t xml:space="preserve">https://doi.org/10.1016/S0749-3797(98)00017-8</w:t>
        </w:r>
      </w:hyperlink>
    </w:p>
    <w:bookmarkEnd w:id="41"/>
    <w:bookmarkStart w:id="43" w:name="ref-Heim2020"/>
    <w:p>
      <w:pPr>
        <w:pStyle w:val="BodyText"/>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42">
        <w:r>
          <w:rPr>
            <w:rStyle w:val="Hyperlink"/>
          </w:rPr>
          <w:t xml:space="preserve">https://doi.org/0.1007/978-3-030-39903-0_63</w:t>
        </w:r>
      </w:hyperlink>
    </w:p>
    <w:bookmarkEnd w:id="43"/>
    <w:bookmarkStart w:id="45"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44">
        <w:r>
          <w:rPr>
            <w:rStyle w:val="Hyperlink"/>
          </w:rPr>
          <w:t xml:space="preserve">https://doi.org/10.1007/s40653-021-00404-7</w:t>
        </w:r>
      </w:hyperlink>
    </w:p>
    <w:bookmarkEnd w:id="45"/>
    <w:bookmarkStart w:id="47" w:name="ref-Jakubowski2018"/>
    <w:p>
      <w:pPr>
        <w:pStyle w:val="BodyText"/>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46">
        <w:r>
          <w:rPr>
            <w:rStyle w:val="Hyperlink"/>
          </w:rPr>
          <w:t xml:space="preserve">https://doi.org/10.1037/hea0000637</w:t>
        </w:r>
      </w:hyperlink>
    </w:p>
    <w:bookmarkEnd w:id="47"/>
    <w:bookmarkStart w:id="49"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48">
        <w:r>
          <w:rPr>
            <w:rStyle w:val="Hyperlink"/>
          </w:rPr>
          <w:t xml:space="preserve">https://doi.org/10.1016/j.jaac.2019.10.011</w:t>
        </w:r>
      </w:hyperlink>
    </w:p>
    <w:bookmarkEnd w:id="49"/>
    <w:bookmarkStart w:id="51"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0">
        <w:r>
          <w:rPr>
            <w:rStyle w:val="Hyperlink"/>
          </w:rPr>
          <w:t xml:space="preserve">https://doi.org/10.1017/s0033291715002743</w:t>
        </w:r>
      </w:hyperlink>
    </w:p>
    <w:bookmarkEnd w:id="51"/>
    <w:bookmarkStart w:id="53"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52">
        <w:r>
          <w:rPr>
            <w:rStyle w:val="Hyperlink"/>
          </w:rPr>
          <w:t xml:space="preserve">https://doi.org/10.1177/15248380221102558</w:t>
        </w:r>
      </w:hyperlink>
    </w:p>
    <w:bookmarkEnd w:id="53"/>
    <w:bookmarkStart w:id="55"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54">
        <w:r>
          <w:rPr>
            <w:rStyle w:val="Hyperlink"/>
          </w:rPr>
          <w:t xml:space="preserve">https://doi.org/10.1001/archgenpsychiatry.2010.2</w:t>
        </w:r>
      </w:hyperlink>
    </w:p>
    <w:bookmarkEnd w:id="55"/>
    <w:bookmarkStart w:id="57"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56">
        <w:r>
          <w:rPr>
            <w:rStyle w:val="Hyperlink"/>
          </w:rPr>
          <w:t xml:space="preserve">https://doi.org/10.1001/jamapediatrics.2024.4385</w:t>
        </w:r>
      </w:hyperlink>
    </w:p>
    <w:bookmarkEnd w:id="57"/>
    <w:bookmarkStart w:id="59"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58">
        <w:r>
          <w:rPr>
            <w:rStyle w:val="Hyperlink"/>
          </w:rPr>
          <w:t xml:space="preserve">https://doi.org/10.1016/j.ajp.2015.12.008</w:t>
        </w:r>
      </w:hyperlink>
    </w:p>
    <w:bookmarkEnd w:id="59"/>
    <w:bookmarkStart w:id="61"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60">
        <w:r>
          <w:rPr>
            <w:rStyle w:val="Hyperlink"/>
          </w:rPr>
          <w:t xml:space="preserve">https://doi.org/10.1001/archpsyc.58.3.221</w:t>
        </w:r>
      </w:hyperlink>
    </w:p>
    <w:bookmarkEnd w:id="61"/>
    <w:bookmarkStart w:id="63"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62">
        <w:r>
          <w:rPr>
            <w:rStyle w:val="Hyperlink"/>
          </w:rPr>
          <w:t xml:space="preserve">https://doi.org/10.1002/gps.1723</w:t>
        </w:r>
      </w:hyperlink>
    </w:p>
    <w:bookmarkEnd w:id="63"/>
    <w:bookmarkStart w:id="65"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64">
        <w:r>
          <w:rPr>
            <w:rStyle w:val="Hyperlink"/>
          </w:rPr>
          <w:t xml:space="preserve">https://doi.org/10.1016/j.physbeh.2020.112964</w:t>
        </w:r>
      </w:hyperlink>
    </w:p>
    <w:bookmarkEnd w:id="65"/>
    <w:bookmarkStart w:id="67"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66">
        <w:r>
          <w:rPr>
            <w:rStyle w:val="Hyperlink"/>
          </w:rPr>
          <w:t xml:space="preserve">https://doi.org/10.1016/j.jacasi.2024.06.004</w:t>
        </w:r>
      </w:hyperlink>
    </w:p>
    <w:bookmarkEnd w:id="67"/>
    <w:bookmarkStart w:id="69"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68">
        <w:r>
          <w:rPr>
            <w:rStyle w:val="Hyperlink"/>
          </w:rPr>
          <w:t xml:space="preserve">https://doi.org/10.7189/jogh.12.04082</w:t>
        </w:r>
      </w:hyperlink>
    </w:p>
    <w:bookmarkEnd w:id="69"/>
    <w:bookmarkEnd w:id="70"/>
    <w:bookmarkEnd w:id="71"/>
    <w:bookmarkEnd w:id="72"/>
    <w:bookmarkStart w:id="194" w:name="sec-chapter2"/>
    <w:p>
      <w:pPr>
        <w:pStyle w:val="Heading1"/>
      </w:pPr>
      <w:r>
        <w:t xml:space="preserve">2. ELS and adolescent psycho-physical health</w:t>
      </w:r>
    </w:p>
    <w:p>
      <w:pPr>
        <w:pStyle w:val="FirstParagraph"/>
      </w:pPr>
      <w:r>
        <w:t xml:space="preserve">Adapted from:</w:t>
      </w:r>
    </w:p>
    <w:p>
      <w:pPr>
        <w:pStyle w:val="BodyText"/>
      </w:pPr>
      <w:r>
        <w:rPr>
          <w:bCs/>
          <w:b/>
        </w:rPr>
        <w:t xml:space="preserve">Differential effects of pre- and postnatal early-life stress on internalizing, adiposity and their comorbidity</w:t>
      </w:r>
    </w:p>
    <w:p>
      <w:pPr>
        <w:pStyle w:val="BodyText"/>
      </w:pPr>
      <w:r>
        <w:rPr>
          <w:bCs/>
          <w:b/>
        </w:rPr>
        <w:t xml:space="preserve">Defina, S.</w:t>
      </w:r>
      <w:r>
        <w:t xml:space="preserve">, Woofenden, T., Baltramonaityte, V., Pariante, C. M., Lekadir, K., Jaddoe, V. W., Serdarevic, F., Tiemeier, H., Walton, E., Felix, J. F., &amp; Cecil, C. A. M., *on behalf of the EarlyCause Consortium. (2023).</w:t>
      </w:r>
      <w:r>
        <w:t xml:space="preserve"> </w:t>
      </w:r>
      <w:r>
        <w:rPr>
          <w:iCs/>
          <w:i/>
        </w:rPr>
        <w:t xml:space="preserve">JAACAP</w:t>
      </w:r>
      <w:r>
        <w:t xml:space="preserve">.</w:t>
      </w:r>
      <w:r>
        <w:t xml:space="preserve"> </w:t>
      </w:r>
      <w:hyperlink r:id="rId73">
        <w:r>
          <w:rPr>
            <w:rStyle w:val="Hyperlink"/>
          </w:rPr>
          <w:t xml:space="preserve">DOI</w:t>
        </w:r>
      </w:hyperlink>
    </w:p>
    <w:bookmarkStart w:id="74"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Cs/>
          <w:i/>
        </w:rPr>
        <w:t xml:space="preserve">(i)</w:t>
      </w:r>
      <w:r>
        <w:t xml:space="preserve"> </w:t>
      </w:r>
      <w:r>
        <w:t xml:space="preserve">associations differ depending on the timing of stress exposure (prenatal vs postnatal) and</w:t>
      </w:r>
      <w:r>
        <w:t xml:space="preserve"> </w:t>
      </w:r>
      <w:r>
        <w:rPr>
          <w:iCs/>
          <w:i/>
        </w:rPr>
        <w:t xml:space="preserve">(ii)</w:t>
      </w:r>
      <w:r>
        <w:t xml:space="preserve"> </w:t>
      </w:r>
      <w:r>
        <w:t xml:space="preserve">ELS is a shared risk factor underlying the comorbidity between the two conditions.</w:t>
      </w:r>
    </w:p>
    <w:p>
      <w:pPr>
        <w:pStyle w:val="BodyText"/>
      </w:pPr>
      <w:r>
        <w:rPr>
          <w:u w:val="single"/>
        </w:rPr>
        <w:t xml:space="preserve">Method</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Cs/>
          <w:i/>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w:t>
      </w:r>
      <w:r>
        <w:t xml:space="preserve">: We found evidence of</w:t>
      </w:r>
      <w:r>
        <w:t xml:space="preserve"> </w:t>
      </w:r>
      <w:r>
        <w:rPr>
          <w:iCs/>
          <w:i/>
        </w:rPr>
        <w:t xml:space="preserve">(i)</w:t>
      </w:r>
      <w:r>
        <w:t xml:space="preserve"> </w:t>
      </w:r>
      <w:r>
        <w:t xml:space="preserve">timing and</w:t>
      </w:r>
      <w:r>
        <w:t xml:space="preserve"> </w:t>
      </w:r>
      <w:r>
        <w:rPr>
          <w:iCs/>
          <w:i/>
        </w:rPr>
        <w:t xml:space="preserve">(ii)</w:t>
      </w:r>
      <w:r>
        <w:t xml:space="preserve"> </w:t>
      </w:r>
      <w:r>
        <w:t xml:space="preserve">shared causal effects of ELS on psycho-cardiometabolic health in adolescence, but future research is warranted to clarify how these associations may unfold over time.</w:t>
      </w:r>
    </w:p>
    <w:bookmarkEnd w:id="74"/>
    <w:bookmarkStart w:id="75"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Cs/>
          <w:i/>
        </w:rPr>
        <w:t xml:space="preserve">(a)</w:t>
      </w:r>
      <w:r>
        <w:t xml:space="preserve"> </w:t>
      </w:r>
      <w:r>
        <w:t xml:space="preserve">previously reported postnatal associations may partly reflect preceding prenatal exposures (i.e., prenatal ELS as confounder), and</w:t>
      </w:r>
      <w:r>
        <w:t xml:space="preserve"> </w:t>
      </w:r>
      <w:r>
        <w:rPr>
          <w:iCs/>
          <w:i/>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w:t>
      </w:r>
      <w:r>
        <w:t xml:space="preserve">multisystemic</w:t>
      </w:r>
      <w:r>
        <w:t xml:space="preserve">”</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Cs/>
          <w:i/>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Cs/>
          <w:i/>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75"/>
    <w:bookmarkStart w:id="96"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78" w:name="participants"/>
    <w:p>
      <w:pPr>
        <w:pStyle w:val="Heading3"/>
      </w:pPr>
      <w:r>
        <w:t xml:space="preserve">2.2.1 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76">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77"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77"/>
    <w:bookmarkEnd w:id="78"/>
    <w:bookmarkStart w:id="89" w:name="measures"/>
    <w:p>
      <w:pPr>
        <w:pStyle w:val="Heading3"/>
      </w:pPr>
      <w:r>
        <w:t xml:space="preserve">2.2.2 Measures</w:t>
      </w:r>
    </w:p>
    <w:bookmarkStart w:id="84"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w:t>
      </w:r>
      <w:r>
        <w:t xml:space="preserve">postnatal</w:t>
      </w:r>
      <w:r>
        <w:t xml:space="preserve">”</w:t>
      </w:r>
      <w:r>
        <w:t xml:space="preserve"> </w:t>
      </w:r>
      <w:r>
        <w:t xml:space="preserve">(in contrast to</w:t>
      </w:r>
      <w:r>
        <w:t xml:space="preserve"> </w:t>
      </w:r>
      <w:r>
        <w:t xml:space="preserve">“</w:t>
      </w:r>
      <w:r>
        <w:t xml:space="preserve">prenatal</w:t>
      </w:r>
      <w:r>
        <w:t xml:space="preserve">”</w:t>
      </w:r>
      <w:r>
        <w:t xml:space="preserve">) to encompass stressors experienced across childhood (i.e., until the age of 10 years), rather than immediately following birth. A detailed description of the ELS scores is provided in online</w:t>
      </w:r>
      <w:r>
        <w:t xml:space="preserve"> </w:t>
      </w:r>
      <w:r>
        <w:rPr>
          <w:bCs/>
          <w:b/>
        </w:rPr>
        <w:t xml:space="preserve">Supplement 1</w:t>
      </w:r>
      <w:r>
        <w:t xml:space="preserve"> </w:t>
      </w:r>
      <w:r>
        <w:t xml:space="preserve">(see also the score’s</w:t>
      </w:r>
      <w:r>
        <w:t xml:space="preserve"> </w:t>
      </w:r>
      <w:hyperlink r:id="rId79">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1.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tbl>
      <w:tblPr>
        <w:tblStyle w:val="Table"/>
        <w:tblW w:type="pct" w:w="5000"/>
        <w:tblLook w:firstRow="0" w:lastRow="0" w:firstColumn="0" w:lastColumn="0" w:noHBand="0" w:noVBand="0" w:val="0000"/>
        <w:jc w:val="start"/>
        <w:tblLayout w:type="fixed"/>
      </w:tblPr>
      <w:tblGrid>
        <w:gridCol w:w="7920"/>
      </w:tblGrid>
      <w:tr>
        <w:tc>
          <w:tcPr/>
          <w:bookmarkStart w:id="83" w:name="fig-1.1"/>
          <w:p>
            <w:pPr>
              <w:pStyle w:val="Compact"/>
              <w:jc w:val="center"/>
            </w:pPr>
            <w:r>
              <w:drawing>
                <wp:inline>
                  <wp:extent cx="5334000" cy="6810234"/>
                  <wp:effectExtent b="0" l="0" r="0" t="0"/>
                  <wp:docPr descr="" title="" id="81" name="Picture"/>
                  <a:graphic>
                    <a:graphicData uri="http://schemas.openxmlformats.org/drawingml/2006/picture">
                      <pic:pic>
                        <pic:nvPicPr>
                          <pic:cNvPr descr="2.Chapter/F1_ELStime.pdf" id="82" name="Picture"/>
                          <pic:cNvPicPr>
                            <a:picLocks noChangeArrowheads="1" noChangeAspect="1"/>
                          </pic:cNvPicPr>
                        </pic:nvPicPr>
                        <pic:blipFill>
                          <a:blip r:embed="rId80"/>
                          <a:stretch>
                            <a:fillRect/>
                          </a:stretch>
                        </pic:blipFill>
                        <pic:spPr bwMode="auto">
                          <a:xfrm>
                            <a:off x="0" y="0"/>
                            <a:ext cx="5334000" cy="68102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Cs/>
                <w:b/>
              </w:rPr>
              <w:t xml:space="preserve">Temporal structure of the prenatal and postnatal early-life stress (ELS) score</w:t>
            </w:r>
            <w:r>
              <w:t xml:space="preserve">The two graphs summarize the complex temporal structure of the prenatal (on the left) and postnatal (on the right) ELS scores. Time is depicted on the x-axis on the scale of weeks (gestation) for prenatal and years for postnatal items. For each question/item on the y-axis, a coloured dot represents the timepoint(s) at which the item was measured, and a grey shadow indicates the time period the question refers to (e.g.,</w:t>
            </w:r>
            <w:r>
              <w:t xml:space="preserve"> </w:t>
            </w:r>
            <w:r>
              <w:t xml:space="preserve">“</w:t>
            </w:r>
            <w:r>
              <w:t xml:space="preserve">since pregnancy</w:t>
            </w:r>
            <w:r>
              <w:t xml:space="preserve">”</w:t>
            </w:r>
            <w:r>
              <w:t xml:space="preserve"> </w:t>
            </w:r>
            <w:r>
              <w:t xml:space="preserve">or</w:t>
            </w:r>
            <w:r>
              <w:t xml:space="preserve"> </w:t>
            </w:r>
            <w:r>
              <w:t xml:space="preserve">“</w:t>
            </w:r>
            <w:r>
              <w:t xml:space="preserve">in the last year</w:t>
            </w:r>
            <w:r>
              <w:t xml:space="preserve">”</w:t>
            </w:r>
            <w:r>
              <w:t xml:space="preserve">). Red dots and labels refer to ALSPAC items and blue dots/labels refer to Generation R items. Items are grouped by domain, as indicated by the background color (yellow for life events, red for contextual risk, blue for parental risk, green for interpersonal risk and purple for direct victimization). The solid black vertical line indicates the beginning of the exposure period of interest, i.e., conception (or start of pregnancy) for prenatal items and birth for postnatal items. The dashed grey lines additionally provide temporal markers, i.e., trimesters in the prenatal period and a span of 1 year in the postnatal period.</w:t>
            </w:r>
          </w:p>
          <w:bookmarkEnd w:id="83"/>
        </w:tc>
      </w:tr>
    </w:tbl>
    <w:bookmarkEnd w:id="84"/>
    <w:bookmarkStart w:id="85"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Cs/>
          <w:i/>
        </w:rPr>
        <w:t xml:space="preserve">“</w:t>
      </w:r>
      <w:r>
        <w:rPr>
          <w:iCs/>
          <w:i/>
        </w:rPr>
        <w:t xml:space="preserve">my child feels worthless or inferior</w:t>
      </w:r>
      <w:r>
        <w:rPr>
          <w:iCs/>
          <w:i/>
        </w:rPr>
        <w:t xml:space="preserve">”</w:t>
      </w:r>
      <w:r>
        <w:t xml:space="preserve">. The SDQ emotional problems subscale contains 5 items rated on a 3-point scale, e.g.,</w:t>
      </w:r>
      <w:r>
        <w:t xml:space="preserve"> </w:t>
      </w:r>
      <w:r>
        <w:rPr>
          <w:iCs/>
          <w:i/>
        </w:rPr>
        <w:t xml:space="preserve">“</w:t>
      </w:r>
      <w:r>
        <w:rPr>
          <w:iCs/>
          <w:i/>
        </w:rPr>
        <w:t xml:space="preserve">often unhappy, down-hearted or tearful</w:t>
      </w:r>
      <w:r>
        <w:rPr>
          <w:iCs/>
          <w:i/>
        </w:rPr>
        <w:t xml:space="preserve">”</w:t>
      </w:r>
      <w:r>
        <w:t xml:space="preserve">.</w:t>
      </w:r>
    </w:p>
    <w:bookmarkEnd w:id="85"/>
    <w:bookmarkStart w:id="86"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86"/>
    <w:bookmarkStart w:id="87"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w:t>
      </w:r>
      <w:r>
        <w:t xml:space="preserve">healthy</w:t>
      </w:r>
      <w:r>
        <w:t xml:space="preserve">”</w:t>
      </w:r>
      <w:r>
        <w:t xml:space="preserve"> </w:t>
      </w:r>
      <w:r>
        <w:t xml:space="preserve">(both outcomes &lt;80th percentile);</w:t>
      </w:r>
      <w:r>
        <w:t xml:space="preserve"> </w:t>
      </w:r>
      <w:r>
        <w:t xml:space="preserve">“</w:t>
      </w:r>
      <w:r>
        <w:t xml:space="preserve">high internalizing</w:t>
      </w:r>
      <w:r>
        <w:t xml:space="preserve">”</w:t>
      </w:r>
      <w:r>
        <w:t xml:space="preserve"> </w:t>
      </w:r>
      <w:r>
        <w:t xml:space="preserve">(internalizing &gt;80th &amp; fat mass percentage ≤80th);</w:t>
      </w:r>
      <w:r>
        <w:t xml:space="preserve"> </w:t>
      </w:r>
      <w:r>
        <w:t xml:space="preserve">“</w:t>
      </w:r>
      <w:r>
        <w:t xml:space="preserve">high adiposity</w:t>
      </w:r>
      <w:r>
        <w:t xml:space="preserve">”</w:t>
      </w:r>
      <w:r>
        <w:t xml:space="preserve"> </w:t>
      </w:r>
      <w:r>
        <w:t xml:space="preserve">(internalizing ≤80th &amp; fat mass percentage &gt;80th); and</w:t>
      </w:r>
      <w:r>
        <w:t xml:space="preserve"> </w:t>
      </w:r>
      <w:r>
        <w:t xml:space="preserve">“</w:t>
      </w:r>
      <w:r>
        <w:t xml:space="preserve">comorbid</w:t>
      </w:r>
      <w:r>
        <w:t xml:space="preserve">”</w:t>
      </w:r>
      <w:r>
        <w:t xml:space="preserve"> </w:t>
      </w:r>
      <w:r>
        <w:t xml:space="preserve">(both outcomes &gt;80th percentile).</w:t>
      </w:r>
      <w:r>
        <w:t xml:space="preserve"> </w:t>
      </w:r>
      <w:r>
        <w:t xml:space="preserve">For additional information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2</w:t>
      </w:r>
      <w:r>
        <w:t xml:space="preserve">.</w:t>
      </w:r>
    </w:p>
    <w:bookmarkEnd w:id="87"/>
    <w:bookmarkStart w:id="88"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w:t>
      </w:r>
      <w:r>
        <w:t xml:space="preserve">Africa and Middle East</w:t>
      </w:r>
      <w:r>
        <w:t xml:space="preserve">”</w:t>
      </w:r>
      <w:r>
        <w:t xml:space="preserve">,</w:t>
      </w:r>
      <w:r>
        <w:t xml:space="preserve"> </w:t>
      </w:r>
      <w:r>
        <w:t xml:space="preserve">“</w:t>
      </w:r>
      <w:r>
        <w:t xml:space="preserve">Asia and Oceania</w:t>
      </w:r>
      <w:r>
        <w:t xml:space="preserve">”</w:t>
      </w:r>
      <w:r>
        <w:t xml:space="preserve">,</w:t>
      </w:r>
      <w:r>
        <w:t xml:space="preserve"> </w:t>
      </w:r>
      <w:r>
        <w:t xml:space="preserve">“</w:t>
      </w:r>
      <w:r>
        <w:t xml:space="preserve">Europe</w:t>
      </w:r>
      <w:r>
        <w:t xml:space="preserve">”</w:t>
      </w:r>
      <w:r>
        <w:t xml:space="preserve">,</w:t>
      </w:r>
      <w:r>
        <w:t xml:space="preserve"> </w:t>
      </w:r>
      <w:r>
        <w:t xml:space="preserve">“</w:t>
      </w:r>
      <w:r>
        <w:t xml:space="preserve">Latin America</w:t>
      </w:r>
      <w:r>
        <w:t xml:space="preserve">”</w:t>
      </w:r>
      <w:r>
        <w:t xml:space="preserve">, and</w:t>
      </w:r>
      <w:r>
        <w:t xml:space="preserve"> </w:t>
      </w:r>
      <w:r>
        <w:t xml:space="preserve">“</w:t>
      </w:r>
      <w:r>
        <w:t xml:space="preserve">North America</w:t>
      </w:r>
      <w:r>
        <w:t xml:space="preserve">”</w:t>
      </w:r>
      <w:r>
        <w:t xml:space="preserve"> </w:t>
      </w:r>
      <w:r>
        <w:t xml:space="preserve">(</w:t>
      </w:r>
      <w:r>
        <w:rPr>
          <w:bCs/>
          <w:b/>
        </w:rPr>
        <w:t xml:space="preserve">Figure S5</w:t>
      </w:r>
      <w:r>
        <w:t xml:space="preserve">).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3</w:t>
      </w:r>
      <w:r>
        <w:t xml:space="preserve"> </w:t>
      </w:r>
      <w:r>
        <w:t xml:space="preserve">for additional information on covariates measurement and distribution.</w:t>
      </w:r>
    </w:p>
    <w:bookmarkEnd w:id="88"/>
    <w:bookmarkEnd w:id="89"/>
    <w:bookmarkStart w:id="95" w:name="statistical-analysis"/>
    <w:p>
      <w:pPr>
        <w:pStyle w:val="Heading3"/>
      </w:pPr>
      <w:r>
        <w:t xml:space="preserve">2.2.3 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90">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r>
        <w:rPr>
          <w:bCs/>
          <w:b/>
        </w:rPr>
        <w:t xml:space="preserve">Supplement 4</w:t>
      </w:r>
      <w:r>
        <w:t xml:space="preserve"> </w:t>
      </w:r>
      <w:r>
        <w:t xml:space="preserve">and</w:t>
      </w:r>
      <w:r>
        <w:t xml:space="preserve"> </w:t>
      </w:r>
      <w:r>
        <w:rPr>
          <w:bCs/>
          <w:b/>
        </w:rPr>
        <w:t xml:space="preserve">Table S1</w:t>
      </w:r>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91"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r>
        <w:rPr>
          <w:bCs/>
          <w:b/>
        </w:rPr>
        <w:t xml:space="preserve">Supplement 5</w:t>
      </w:r>
      <w:r>
        <w:t xml:space="preserve">. In summary, the</w:t>
      </w:r>
      <w:r>
        <w:t xml:space="preserve"> </w:t>
      </w:r>
      <w:r>
        <w:t xml:space="preserve">“</w:t>
      </w:r>
      <w:r>
        <w:t xml:space="preserve">total</w:t>
      </w:r>
      <w:r>
        <w:t xml:space="preserve">”</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91"/>
    <w:bookmarkStart w:id="92"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92"/>
    <w:bookmarkStart w:id="93"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w:t>
      </w:r>
      <w:r>
        <w:t xml:space="preserve">healthy</w:t>
      </w:r>
      <w:r>
        <w:t xml:space="preserve">”</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93"/>
    <w:bookmarkStart w:id="94"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94"/>
    <w:bookmarkEnd w:id="95"/>
    <w:bookmarkEnd w:id="96"/>
    <w:bookmarkStart w:id="118" w:name="results"/>
    <w:p>
      <w:pPr>
        <w:pStyle w:val="Heading2"/>
      </w:pPr>
      <w:r>
        <w:t xml:space="preserve">2.3 Results</w:t>
      </w:r>
    </w:p>
    <w:bookmarkStart w:id="98" w:name="sample-descriptives"/>
    <w:p>
      <w:pPr>
        <w:pStyle w:val="Heading3"/>
      </w:pPr>
      <w:r>
        <w:t xml:space="preserve">2.3.1 Sample descriptives</w:t>
      </w:r>
    </w:p>
    <w:p>
      <w:pPr>
        <w:pStyle w:val="FirstParagraph"/>
      </w:pPr>
      <w:r>
        <w:t xml:space="preserve">Sample characteristics were pooled across imputed datasets and summarized in</w:t>
      </w:r>
      <w:r>
        <w:t xml:space="preserve"> </w:t>
      </w:r>
      <w:hyperlink w:anchor="tbl-1.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w:t>
      </w:r>
      <w:r>
        <w:t xml:space="preserve">Dutch</w:t>
      </w:r>
      <w:r>
        <w:t xml:space="preserve">”</w:t>
      </w:r>
      <w:r>
        <w:t xml:space="preserve"> </w:t>
      </w:r>
      <w:r>
        <w:t xml:space="preserve">and 14% had highly educated (i.e.,</w:t>
      </w:r>
      <w:r>
        <w:t xml:space="preserve"> </w:t>
      </w:r>
      <w:r>
        <w:t xml:space="preserve">“</w:t>
      </w:r>
      <w:r>
        <w:t xml:space="preserve">higher, phase 2</w:t>
      </w:r>
      <w:r>
        <w:t xml:space="preserve">”</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ook w:firstRow="0" w:lastRow="0" w:firstColumn="0" w:lastColumn="0" w:noHBand="0" w:noVBand="0" w:val="0000"/>
        <w:jc w:val="start"/>
        <w:tblLayout w:type="fixed"/>
      </w:tblPr>
      <w:tblGrid>
        <w:gridCol w:w="7920"/>
      </w:tblGrid>
      <w:tr>
        <w:tc>
          <w:tcPr/>
          <w:bookmarkStart w:id="97" w:name="tbl-1.1"/>
          <w:p>
            <w:pPr>
              <w:jc w:val="center"/>
            </w:pPr>
            <w:pPr>
              <w:jc w:val="start"/>
              <w:spacing w:before="200"/>
              <w:pStyle w:val="ImageCaption"/>
            </w:pPr>
            <w:r>
              <w:t xml:space="preserve">Table 2.1: My interesting caption.</w:t>
            </w:r>
          </w:p>
          <w:tbl>
            <w:tblPr>
              <w:tblStyle w:val="Table"/>
              <w:tblW w:type="pct" w:w="5000"/>
              <w:tblLook w:firstRow="1" w:lastRow="1" w:firstColumn="0" w:lastColumn="0" w:noHBand="0" w:noVBand="0" w:val="0020"/>
              <w:jc w:val="start"/>
              <w:tblLayout w:type="fixed"/>
            </w:tblPr>
            <w:tblGrid>
              <w:gridCol w:w="4276"/>
              <w:gridCol w:w="1821"/>
              <w:gridCol w:w="1821"/>
            </w:tblGrid>
            <w:tr>
              <w:trPr>
                <w:tblHeader w:val="true"/>
              </w:trPr>
              <w:tc>
                <w:tcPr>
                  <w:gridSpan w:val="3"/>
                </w:tcPr>
                <w:p>
                  <w:pPr>
                    <w:pStyle w:val="Compact"/>
                    <w:jc w:val="left"/>
                    <w:jc w:val="center"/>
                  </w:pPr>
                  <w:r>
                    <w:rPr>
                      <w:bCs/>
                      <w:b/>
                    </w:rPr>
                    <w:t xml:space="preserve">Sample descriptives</w:t>
                  </w:r>
                  <w:r>
                    <w:br/>
                  </w:r>
                  <w:r>
                    <w:t xml:space="preserve">Generation R (GenR) and ALSPAC cohorts</w:t>
                  </w:r>
                </w:p>
              </w:tc>
            </w:tr>
            <w:tr>
              <w:tc>
                <w:tcPr/>
                <w:p>
                  <w:pPr>
                    <w:jc w:val="left"/>
                    <w:jc w:val="center"/>
                  </w:pPr>
                  <w:r>
                    <w:rPr>
                      <w:bCs/>
                      <w:b/>
                    </w:rPr>
                    <w:t xml:space="preserve"> </w:t>
                  </w:r>
                </w:p>
              </w:tc>
              <w:tc>
                <w:tcPr/>
                <w:p>
                  <w:pPr>
                    <w:jc w:val="left"/>
                    <w:jc w:val="center"/>
                  </w:pPr>
                  <w:r>
                    <w:rPr>
                      <w:bCs/>
                      <w:b/>
                    </w:rPr>
                    <w:t xml:space="preserve">GenR</w:t>
                  </w:r>
                  <w:r>
                    <w:br/>
                  </w:r>
                  <w:r>
                    <w:rPr>
                      <w:bCs/>
                      <w:b/>
                    </w:rPr>
                    <w:t xml:space="preserve">(</w:t>
                  </w:r>
                  <w:r>
                    <w:rPr>
                      <w:iCs/>
                      <w:i/>
                      <w:bCs/>
                      <w:b/>
                    </w:rPr>
                    <w:t xml:space="preserve">n</w:t>
                  </w:r>
                  <w:r>
                    <w:rPr>
                      <w:bCs/>
                      <w:b/>
                    </w:rPr>
                    <w:t xml:space="preserve"> </w:t>
                  </w:r>
                  <w:r>
                    <w:rPr>
                      <w:bCs/>
                      <w:b/>
                    </w:rPr>
                    <w:t xml:space="preserve">= 4268)</w:t>
                  </w:r>
                </w:p>
              </w:tc>
              <w:tc>
                <w:tcPr/>
                <w:p>
                  <w:pPr>
                    <w:jc w:val="left"/>
                    <w:jc w:val="center"/>
                  </w:pPr>
                  <w:r>
                    <w:rPr>
                      <w:bCs/>
                      <w:b/>
                    </w:rPr>
                    <w:t xml:space="preserve">ALSPAC</w:t>
                  </w:r>
                  <w:r>
                    <w:br/>
                  </w:r>
                  <w:r>
                    <w:rPr>
                      <w:bCs/>
                      <w:b/>
                    </w:rPr>
                    <w:t xml:space="preserve">(</w:t>
                  </w:r>
                  <w:r>
                    <w:rPr>
                      <w:iCs/>
                      <w:i/>
                      <w:bCs/>
                      <w:b/>
                    </w:rPr>
                    <w:t xml:space="preserve">n</w:t>
                  </w:r>
                  <w:r>
                    <w:rPr>
                      <w:bCs/>
                      <w:b/>
                    </w:rPr>
                    <w:t xml:space="preserve"> </w:t>
                  </w:r>
                  <w:r>
                    <w:rPr>
                      <w:bCs/>
                      <w:b/>
                    </w:rPr>
                    <w:t xml:space="preserve">= 8428)</w:t>
                  </w:r>
                </w:p>
              </w:tc>
            </w:tr>
            <w:tr>
              <w:tc>
                <w:tcPr>
                  <w:gridSpan w:val="3"/>
                </w:tcPr>
                <w:p>
                  <w:pPr>
                    <w:jc w:val="left"/>
                    <w:jc w:val="center"/>
                  </w:pPr>
                  <w:r>
                    <w:rPr>
                      <w:bCs/>
                      <w:b/>
                    </w:rPr>
                    <w:t xml:space="preserve">Prenatal stress</w:t>
                  </w:r>
                  <w:r>
                    <w:t xml:space="preserve">, median (range)</w:t>
                  </w:r>
                </w:p>
              </w:tc>
            </w:tr>
            <w:tr>
              <w:tc>
                <w:tcPr/>
                <w:p>
                  <w:pPr>
                    <w:jc w:val="left"/>
                    <w:jc w:val="center"/>
                  </w:pPr>
                  <w:r>
                    <w:t xml:space="preserve">  Total score</w:t>
                  </w:r>
                </w:p>
              </w:tc>
              <w:tc>
                <w:tcPr/>
                <w:p>
                  <w:pPr>
                    <w:jc w:val="left"/>
                    <w:jc w:val="center"/>
                  </w:pPr>
                  <w:r>
                    <w:t xml:space="preserve">0.42 (0–2.60)</w:t>
                  </w:r>
                </w:p>
              </w:tc>
              <w:tc>
                <w:tcPr/>
                <w:p>
                  <w:pPr>
                    <w:jc w:val="left"/>
                    <w:jc w:val="center"/>
                  </w:pPr>
                  <w:r>
                    <w:t xml:space="preserve">0.48 (0–2.34)</w:t>
                  </w:r>
                </w:p>
              </w:tc>
            </w:tr>
            <w:tr>
              <w:tc>
                <w:tcPr/>
                <w:p>
                  <w:pPr>
                    <w:jc w:val="left"/>
                    <w:jc w:val="center"/>
                  </w:pPr>
                  <w:r>
                    <w:t xml:space="preserve">  Life events</w:t>
                  </w:r>
                </w:p>
              </w:tc>
              <w:tc>
                <w:tcPr/>
                <w:p>
                  <w:pPr>
                    <w:jc w:val="left"/>
                    <w:jc w:val="center"/>
                  </w:pPr>
                  <w:r>
                    <w:t xml:space="preserve">0.13 (0–0.67)</w:t>
                  </w:r>
                </w:p>
              </w:tc>
              <w:tc>
                <w:tcPr/>
                <w:p>
                  <w:pPr>
                    <w:jc w:val="left"/>
                    <w:jc w:val="center"/>
                  </w:pPr>
                  <w:r>
                    <w:t xml:space="preserve">0.07 (0–0.57)</w:t>
                  </w:r>
                </w:p>
              </w:tc>
            </w:tr>
            <w:tr>
              <w:tc>
                <w:tcPr/>
                <w:p>
                  <w:pPr>
                    <w:jc w:val="left"/>
                    <w:jc w:val="center"/>
                  </w:pPr>
                  <w:r>
                    <w:t xml:space="preserve">  Contextual risk</w:t>
                  </w:r>
                </w:p>
              </w:tc>
              <w:tc>
                <w:tcPr/>
                <w:p>
                  <w:pPr>
                    <w:jc w:val="left"/>
                    <w:jc w:val="center"/>
                  </w:pPr>
                  <w:r>
                    <w:t xml:space="preserve">0.25 (0–1.00)</w:t>
                  </w:r>
                </w:p>
              </w:tc>
              <w:tc>
                <w:tcPr/>
                <w:p>
                  <w:pPr>
                    <w:jc w:val="left"/>
                    <w:jc w:val="center"/>
                  </w:pPr>
                  <w:r>
                    <w:t xml:space="preserve">0.25 (0–0.88)</w:t>
                  </w:r>
                </w:p>
              </w:tc>
            </w:tr>
            <w:tr>
              <w:tc>
                <w:tcPr/>
                <w:p>
                  <w:pPr>
                    <w:jc w:val="left"/>
                    <w:jc w:val="center"/>
                  </w:pPr>
                  <w:r>
                    <w:t xml:space="preserve">  Parental risk</w:t>
                  </w:r>
                </w:p>
              </w:tc>
              <w:tc>
                <w:tcPr/>
                <w:p>
                  <w:pPr>
                    <w:jc w:val="left"/>
                    <w:jc w:val="center"/>
                  </w:pPr>
                  <w:r>
                    <w:t xml:space="preserve">0.00 (0–0.71)</w:t>
                  </w:r>
                </w:p>
              </w:tc>
              <w:tc>
                <w:tcPr/>
                <w:p>
                  <w:pPr>
                    <w:jc w:val="left"/>
                    <w:jc w:val="center"/>
                  </w:pPr>
                  <w:r>
                    <w:t xml:space="preserve">0.10 (0–0.83)</w:t>
                  </w:r>
                </w:p>
              </w:tc>
            </w:tr>
            <w:tr>
              <w:tc>
                <w:tcPr/>
                <w:p>
                  <w:pPr>
                    <w:jc w:val="left"/>
                    <w:jc w:val="center"/>
                  </w:pPr>
                  <w:r>
                    <w:t xml:space="preserve">  Interpersonal risk</w:t>
                  </w:r>
                </w:p>
              </w:tc>
              <w:tc>
                <w:tcPr/>
                <w:p>
                  <w:pPr>
                    <w:jc w:val="left"/>
                    <w:jc w:val="center"/>
                  </w:pPr>
                  <w:r>
                    <w:t xml:space="preserve">0.06 (0–0.95)</w:t>
                  </w:r>
                </w:p>
              </w:tc>
              <w:tc>
                <w:tcPr/>
                <w:p>
                  <w:pPr>
                    <w:jc w:val="left"/>
                    <w:jc w:val="center"/>
                  </w:pPr>
                  <w:r>
                    <w:t xml:space="preserve">0.00 (0–0.84)</w:t>
                  </w:r>
                </w:p>
              </w:tc>
            </w:tr>
            <w:tr>
              <w:tc>
                <w:tcPr>
                  <w:gridSpan w:val="3"/>
                </w:tcPr>
                <w:p>
                  <w:pPr>
                    <w:jc w:val="left"/>
                    <w:jc w:val="center"/>
                  </w:pPr>
                  <w:r>
                    <w:rPr>
                      <w:bCs/>
                      <w:b/>
                    </w:rPr>
                    <w:t xml:space="preserve">Postnatal stress</w:t>
                  </w:r>
                  <w:r>
                    <w:t xml:space="preserve">, median (range)</w:t>
                  </w:r>
                </w:p>
              </w:tc>
            </w:tr>
            <w:tr>
              <w:tc>
                <w:tcPr/>
                <w:p>
                  <w:pPr>
                    <w:jc w:val="left"/>
                    <w:jc w:val="center"/>
                  </w:pPr>
                  <w:r>
                    <w:t xml:space="preserve">  Total score</w:t>
                  </w:r>
                </w:p>
              </w:tc>
              <w:tc>
                <w:tcPr/>
                <w:p>
                  <w:pPr>
                    <w:jc w:val="left"/>
                    <w:jc w:val="center"/>
                  </w:pPr>
                  <w:r>
                    <w:t xml:space="preserve">0.64 (0–3.59)</w:t>
                  </w:r>
                </w:p>
              </w:tc>
              <w:tc>
                <w:tcPr/>
                <w:p>
                  <w:pPr>
                    <w:jc w:val="left"/>
                    <w:jc w:val="center"/>
                  </w:pPr>
                  <w:r>
                    <w:t xml:space="preserve">2.69 (0.17–16.43)</w:t>
                  </w:r>
                </w:p>
              </w:tc>
            </w:tr>
            <w:tr>
              <w:tc>
                <w:tcPr/>
                <w:p>
                  <w:pPr>
                    <w:jc w:val="left"/>
                    <w:jc w:val="center"/>
                  </w:pPr>
                  <w:r>
                    <w:t xml:space="preserve">  Life events</w:t>
                  </w:r>
                </w:p>
              </w:tc>
              <w:tc>
                <w:tcPr/>
                <w:p>
                  <w:pPr>
                    <w:jc w:val="left"/>
                    <w:jc w:val="center"/>
                  </w:pPr>
                  <w:r>
                    <w:t xml:space="preserve">0.23 (0–0.82)</w:t>
                  </w:r>
                </w:p>
              </w:tc>
              <w:tc>
                <w:tcPr/>
                <w:p>
                  <w:pPr>
                    <w:jc w:val="left"/>
                    <w:jc w:val="center"/>
                  </w:pPr>
                  <w:r>
                    <w:t xml:space="preserve">1.07 (0–3.50)</w:t>
                  </w:r>
                </w:p>
              </w:tc>
            </w:tr>
            <w:tr>
              <w:tc>
                <w:tcPr/>
                <w:p>
                  <w:pPr>
                    <w:jc w:val="left"/>
                    <w:jc w:val="center"/>
                  </w:pPr>
                  <w:r>
                    <w:t xml:space="preserve">  Contextual risk</w:t>
                  </w:r>
                </w:p>
              </w:tc>
              <w:tc>
                <w:tcPr/>
                <w:p>
                  <w:pPr>
                    <w:jc w:val="left"/>
                    <w:jc w:val="center"/>
                  </w:pPr>
                  <w:r>
                    <w:t xml:space="preserve">0.20 (0–1.00)</w:t>
                  </w:r>
                </w:p>
              </w:tc>
              <w:tc>
                <w:tcPr/>
                <w:p>
                  <w:pPr>
                    <w:jc w:val="left"/>
                    <w:jc w:val="center"/>
                  </w:pPr>
                  <w:r>
                    <w:t xml:space="preserve">0.50 (0–2.90)</w:t>
                  </w:r>
                </w:p>
              </w:tc>
            </w:tr>
            <w:tr>
              <w:tc>
                <w:tcPr/>
                <w:p>
                  <w:pPr>
                    <w:jc w:val="left"/>
                    <w:jc w:val="center"/>
                  </w:pPr>
                  <w:r>
                    <w:t xml:space="preserve">  Parental risk</w:t>
                  </w:r>
                </w:p>
              </w:tc>
              <w:tc>
                <w:tcPr/>
                <w:p>
                  <w:pPr>
                    <w:jc w:val="left"/>
                    <w:jc w:val="center"/>
                  </w:pPr>
                  <w:r>
                    <w:t xml:space="preserve">0.00 (0–0.79)</w:t>
                  </w:r>
                </w:p>
              </w:tc>
              <w:tc>
                <w:tcPr/>
                <w:p>
                  <w:pPr>
                    <w:jc w:val="left"/>
                    <w:jc w:val="center"/>
                  </w:pPr>
                  <w:r>
                    <w:t xml:space="preserve">0.57 (0–3.62)</w:t>
                  </w:r>
                </w:p>
              </w:tc>
            </w:tr>
            <w:tr>
              <w:tc>
                <w:tcPr/>
                <w:p>
                  <w:pPr>
                    <w:jc w:val="left"/>
                    <w:jc w:val="center"/>
                  </w:pPr>
                  <w:r>
                    <w:t xml:space="preserve">  Interpersonal risk</w:t>
                  </w:r>
                </w:p>
              </w:tc>
              <w:tc>
                <w:tcPr/>
                <w:p>
                  <w:pPr>
                    <w:jc w:val="left"/>
                    <w:jc w:val="center"/>
                  </w:pPr>
                  <w:r>
                    <w:t xml:space="preserve">0.00 (0–0.79)</w:t>
                  </w:r>
                </w:p>
              </w:tc>
              <w:tc>
                <w:tcPr/>
                <w:p>
                  <w:pPr>
                    <w:jc w:val="left"/>
                    <w:jc w:val="center"/>
                  </w:pPr>
                  <w:r>
                    <w:t xml:space="preserve">0.29 (0–5.49)</w:t>
                  </w:r>
                </w:p>
              </w:tc>
            </w:tr>
            <w:tr>
              <w:tc>
                <w:tcPr/>
                <w:p>
                  <w:pPr>
                    <w:jc w:val="left"/>
                    <w:jc w:val="center"/>
                  </w:pPr>
                  <w:r>
                    <w:t xml:space="preserve">  Direct victimization</w:t>
                  </w:r>
                </w:p>
              </w:tc>
              <w:tc>
                <w:tcPr/>
                <w:p>
                  <w:pPr>
                    <w:jc w:val="left"/>
                    <w:jc w:val="center"/>
                  </w:pPr>
                  <w:r>
                    <w:t xml:space="preserve">0.13 (0–0.86)</w:t>
                  </w:r>
                </w:p>
              </w:tc>
              <w:tc>
                <w:tcPr/>
                <w:p>
                  <w:pPr>
                    <w:jc w:val="left"/>
                    <w:jc w:val="center"/>
                  </w:pPr>
                  <w:r>
                    <w:t xml:space="preserve">0.00 (0–3.10)</w:t>
                  </w:r>
                </w:p>
              </w:tc>
            </w:tr>
            <w:tr>
              <w:tc>
                <w:tcPr/>
                <w:p>
                  <w:pPr>
                    <w:jc w:val="left"/>
                    <w:jc w:val="center"/>
                  </w:pPr>
                  <w:r>
                    <w:rPr>
                      <w:bCs/>
                      <w:b/>
                    </w:rPr>
                    <w:t xml:space="preserve">Internalizing score</w:t>
                  </w:r>
                  <w:r>
                    <w:t xml:space="preserve">, median (range)</w:t>
                  </w:r>
                </w:p>
              </w:tc>
              <w:tc>
                <w:tcPr/>
                <w:p>
                  <w:pPr>
                    <w:jc w:val="left"/>
                    <w:jc w:val="center"/>
                  </w:pPr>
                  <w:r>
                    <w:t xml:space="preserve">4.00 (0–41)</w:t>
                  </w:r>
                </w:p>
              </w:tc>
              <w:tc>
                <w:tcPr/>
                <w:p>
                  <w:pPr>
                    <w:jc w:val="left"/>
                    <w:jc w:val="center"/>
                  </w:pPr>
                  <w:r>
                    <w:t xml:space="preserve">1.00 (0–10)</w:t>
                  </w:r>
                </w:p>
              </w:tc>
            </w:tr>
            <w:tr>
              <w:tc>
                <w:tcPr/>
                <w:p>
                  <w:pPr>
                    <w:jc w:val="left"/>
                    <w:jc w:val="center"/>
                  </w:pPr>
                  <w:r>
                    <w:rPr>
                      <w:bCs/>
                      <w:b/>
                    </w:rPr>
                    <w:t xml:space="preserve">Fat mass percentage</w:t>
                  </w:r>
                  <w:r>
                    <w:t xml:space="preserve">, median (range)</w:t>
                  </w:r>
                </w:p>
              </w:tc>
              <w:tc>
                <w:tcPr/>
                <w:p>
                  <w:pPr>
                    <w:jc w:val="left"/>
                    <w:jc w:val="center"/>
                  </w:pPr>
                  <w:r>
                    <w:t xml:space="preserve">24.7 (8.5–54.6)</w:t>
                  </w:r>
                </w:p>
              </w:tc>
              <w:tc>
                <w:tcPr/>
                <w:p>
                  <w:pPr>
                    <w:jc w:val="left"/>
                    <w:jc w:val="center"/>
                  </w:pPr>
                  <w:r>
                    <w:t xml:space="preserve">23.9 (4.9–56.3)</w:t>
                  </w:r>
                </w:p>
              </w:tc>
            </w:tr>
            <w:tr>
              <w:tc>
                <w:tcPr>
                  <w:gridSpan w:val="3"/>
                </w:tcPr>
                <w:p>
                  <w:pPr>
                    <w:jc w:val="left"/>
                    <w:jc w:val="center"/>
                  </w:pPr>
                  <w:r>
                    <w:rPr>
                      <w:bCs/>
                      <w:b/>
                    </w:rPr>
                    <w:t xml:space="preserve">Outcome groups</w:t>
                  </w:r>
                  <w:r>
                    <w:t xml:space="preserve">, n (%)</w:t>
                  </w:r>
                </w:p>
              </w:tc>
            </w:tr>
            <w:tr>
              <w:tc>
                <w:tcPr/>
                <w:p>
                  <w:pPr>
                    <w:jc w:val="left"/>
                    <w:jc w:val="center"/>
                  </w:pPr>
                  <w:r>
                    <w:t xml:space="preserve">  Healthy</w:t>
                  </w:r>
                </w:p>
              </w:tc>
              <w:tc>
                <w:tcPr/>
                <w:p>
                  <w:pPr>
                    <w:jc w:val="left"/>
                    <w:jc w:val="center"/>
                  </w:pPr>
                  <w:r>
                    <w:t xml:space="preserve">2791 (65)</w:t>
                  </w:r>
                </w:p>
              </w:tc>
              <w:tc>
                <w:tcPr/>
                <w:p>
                  <w:pPr>
                    <w:jc w:val="left"/>
                    <w:jc w:val="center"/>
                  </w:pPr>
                  <w:r>
                    <w:t xml:space="preserve">5916 (70)</w:t>
                  </w:r>
                </w:p>
              </w:tc>
            </w:tr>
            <w:tr>
              <w:tc>
                <w:tcPr/>
                <w:p>
                  <w:pPr>
                    <w:jc w:val="left"/>
                    <w:jc w:val="center"/>
                  </w:pPr>
                  <w:r>
                    <w:t xml:space="preserve">  High internalizing</w:t>
                  </w:r>
                </w:p>
              </w:tc>
              <w:tc>
                <w:tcPr/>
                <w:p>
                  <w:pPr>
                    <w:jc w:val="left"/>
                    <w:jc w:val="center"/>
                  </w:pPr>
                  <w:r>
                    <w:t xml:space="preserve">623 (15)</w:t>
                  </w:r>
                </w:p>
              </w:tc>
              <w:tc>
                <w:tcPr/>
                <w:p>
                  <w:pPr>
                    <w:jc w:val="left"/>
                    <w:jc w:val="center"/>
                  </w:pPr>
                  <w:r>
                    <w:t xml:space="preserve">795 (9)</w:t>
                  </w:r>
                </w:p>
              </w:tc>
            </w:tr>
            <w:tr>
              <w:tc>
                <w:tcPr/>
                <w:p>
                  <w:pPr>
                    <w:jc w:val="left"/>
                    <w:jc w:val="center"/>
                  </w:pPr>
                  <w:r>
                    <w:t xml:space="preserve">  High adiposity</w:t>
                  </w:r>
                </w:p>
              </w:tc>
              <w:tc>
                <w:tcPr/>
                <w:p>
                  <w:pPr>
                    <w:jc w:val="left"/>
                    <w:jc w:val="center"/>
                  </w:pPr>
                  <w:r>
                    <w:t xml:space="preserve">631 (15)</w:t>
                  </w:r>
                </w:p>
              </w:tc>
              <w:tc>
                <w:tcPr/>
                <w:p>
                  <w:pPr>
                    <w:jc w:val="left"/>
                    <w:jc w:val="center"/>
                  </w:pPr>
                  <w:r>
                    <w:t xml:space="preserve">1476 (18)</w:t>
                  </w:r>
                </w:p>
              </w:tc>
            </w:tr>
            <w:tr>
              <w:tc>
                <w:tcPr/>
                <w:p>
                  <w:pPr>
                    <w:jc w:val="left"/>
                    <w:jc w:val="center"/>
                  </w:pPr>
                  <w:r>
                    <w:t xml:space="preserve">  Comorbid</w:t>
                  </w:r>
                </w:p>
              </w:tc>
              <w:tc>
                <w:tcPr/>
                <w:p>
                  <w:pPr>
                    <w:jc w:val="left"/>
                    <w:jc w:val="center"/>
                  </w:pPr>
                  <w:r>
                    <w:t xml:space="preserve">223 (5)</w:t>
                  </w:r>
                </w:p>
              </w:tc>
              <w:tc>
                <w:tcPr/>
                <w:p>
                  <w:pPr>
                    <w:jc w:val="left"/>
                    <w:jc w:val="center"/>
                  </w:pPr>
                  <w:r>
                    <w:t xml:space="preserve">241 (3)</w:t>
                  </w:r>
                </w:p>
              </w:tc>
            </w:tr>
            <w:tr>
              <w:tc>
                <w:tcPr>
                  <w:gridSpan w:val="3"/>
                </w:tcPr>
                <w:p>
                  <w:pPr>
                    <w:jc w:val="left"/>
                    <w:jc w:val="center"/>
                  </w:pPr>
                  <w:r>
                    <w:rPr>
                      <w:bCs/>
                      <w:b/>
                    </w:rPr>
                    <w:t xml:space="preserve">Sex</w:t>
                  </w:r>
                  <w:r>
                    <w:t xml:space="preserve">, n (%)</w:t>
                  </w:r>
                </w:p>
              </w:tc>
            </w:tr>
            <w:tr>
              <w:tc>
                <w:tcPr/>
                <w:p>
                  <w:pPr>
                    <w:jc w:val="left"/>
                    <w:jc w:val="center"/>
                  </w:pPr>
                  <w:r>
                    <w:t xml:space="preserve">  Male participants</w:t>
                  </w:r>
                </w:p>
              </w:tc>
              <w:tc>
                <w:tcPr/>
                <w:p>
                  <w:pPr>
                    <w:jc w:val="left"/>
                    <w:jc w:val="center"/>
                  </w:pPr>
                  <w:r>
                    <w:t xml:space="preserve">2087 (48)</w:t>
                  </w:r>
                </w:p>
              </w:tc>
              <w:tc>
                <w:tcPr/>
                <w:p>
                  <w:pPr>
                    <w:jc w:val="left"/>
                    <w:jc w:val="center"/>
                  </w:pPr>
                  <w:r>
                    <w:t xml:space="preserve">4370 (52)</w:t>
                  </w:r>
                </w:p>
              </w:tc>
            </w:tr>
            <w:tr>
              <w:tc>
                <w:tcPr/>
                <w:p>
                  <w:pPr>
                    <w:jc w:val="left"/>
                    <w:jc w:val="center"/>
                  </w:pPr>
                  <w:r>
                    <w:t xml:space="preserve">  Female participants</w:t>
                  </w:r>
                </w:p>
              </w:tc>
              <w:tc>
                <w:tcPr/>
                <w:p>
                  <w:pPr>
                    <w:jc w:val="left"/>
                    <w:jc w:val="center"/>
                  </w:pPr>
                  <w:r>
                    <w:t xml:space="preserve">2181 (52)</w:t>
                  </w:r>
                </w:p>
              </w:tc>
              <w:tc>
                <w:tcPr/>
                <w:p>
                  <w:pPr>
                    <w:jc w:val="left"/>
                    <w:jc w:val="center"/>
                  </w:pPr>
                  <w:r>
                    <w:t xml:space="preserve">4058 (48)</w:t>
                  </w:r>
                </w:p>
              </w:tc>
            </w:tr>
            <w:tr>
              <w:tc>
                <w:tcPr>
                  <w:gridSpan w:val="3"/>
                </w:tcPr>
                <w:p>
                  <w:pPr>
                    <w:jc w:val="left"/>
                    <w:jc w:val="center"/>
                  </w:pPr>
                  <w:r>
                    <w:rPr>
                      <w:bCs/>
                      <w:b/>
                    </w:rPr>
                    <w:t xml:space="preserve">Ethnic background</w:t>
                  </w:r>
                  <w:r>
                    <w:t xml:space="preserve">, n (%)</w:t>
                  </w:r>
                </w:p>
              </w:tc>
            </w:tr>
            <w:tr>
              <w:tc>
                <w:tcPr/>
                <w:p>
                  <w:pPr>
                    <w:jc w:val="left"/>
                    <w:jc w:val="center"/>
                  </w:pPr>
                  <w:r>
                    <w:t xml:space="preserve">  Africa and Middle East</w:t>
                  </w:r>
                  <w:r>
                    <w:t xml:space="preserve"> </w:t>
                  </w:r>
                  <w:r>
                    <w:rPr>
                      <w:vertAlign w:val="superscript"/>
                    </w:rPr>
                    <w:t xml:space="preserve">a</w:t>
                  </w:r>
                </w:p>
              </w:tc>
              <w:tc>
                <w:tcPr/>
                <w:p>
                  <w:pPr>
                    <w:jc w:val="left"/>
                    <w:jc w:val="center"/>
                  </w:pPr>
                  <w:r>
                    <w:t xml:space="preserve">115 (2.7)</w:t>
                  </w:r>
                </w:p>
              </w:tc>
              <w:tc>
                <w:tcPr>
                  <w:vMerge w:val="restart"/>
                </w:tcPr>
                <w:p>
                  <w:pPr>
                    <w:jc w:val="left"/>
                    <w:jc w:val="center"/>
                  </w:pPr>
                  <w:r>
                    <w:t xml:space="preserve"> </w:t>
                  </w:r>
                </w:p>
              </w:tc>
            </w:tr>
            <w:tr>
              <w:tc>
                <w:tcPr/>
                <w:p>
                  <w:pPr>
                    <w:jc w:val="left"/>
                    <w:jc w:val="center"/>
                  </w:pPr>
                  <w:r>
                    <w:t xml:space="preserve">  Asia and Oceania</w:t>
                  </w:r>
                  <w:r>
                    <w:t xml:space="preserve"> </w:t>
                  </w:r>
                  <w:r>
                    <w:rPr>
                      <w:vertAlign w:val="superscript"/>
                    </w:rPr>
                    <w:t xml:space="preserve">a</w:t>
                  </w:r>
                </w:p>
              </w:tc>
              <w:tc>
                <w:tcPr/>
                <w:p>
                  <w:pPr>
                    <w:jc w:val="left"/>
                    <w:jc w:val="center"/>
                  </w:pPr>
                  <w:r>
                    <w:t xml:space="preserve">100 (2.3)</w:t>
                  </w:r>
                </w:p>
              </w:tc>
              <w:tc>
                <w:tcPr>
                  <w:gridSpan w:val="1"/>
                  <w:vMerge w:val="continue"/>
                </w:tcPr>
                <w:p>
                  <w:pPr/>
                </w:p>
              </w:tc>
            </w:tr>
            <w:tr>
              <w:tc>
                <w:tcPr/>
                <w:p>
                  <w:pPr>
                    <w:jc w:val="left"/>
                    <w:jc w:val="center"/>
                  </w:pPr>
                  <w:r>
                    <w:t xml:space="preserve">  Cape Verdean</w:t>
                  </w:r>
                </w:p>
              </w:tc>
              <w:tc>
                <w:tcPr/>
                <w:p>
                  <w:pPr>
                    <w:jc w:val="left"/>
                    <w:jc w:val="center"/>
                  </w:pPr>
                  <w:r>
                    <w:t xml:space="preserve">100 (2.3)</w:t>
                  </w:r>
                </w:p>
              </w:tc>
              <w:tc>
                <w:tcPr>
                  <w:gridSpan w:val="1"/>
                  <w:vMerge w:val="continue"/>
                </w:tcPr>
                <w:p>
                  <w:pPr/>
                </w:p>
              </w:tc>
            </w:tr>
            <w:tr>
              <w:tc>
                <w:tcPr/>
                <w:p>
                  <w:pPr>
                    <w:jc w:val="left"/>
                    <w:jc w:val="center"/>
                  </w:pPr>
                  <w:r>
                    <w:t xml:space="preserve">  Dutch</w:t>
                  </w:r>
                </w:p>
              </w:tc>
              <w:tc>
                <w:tcPr/>
                <w:p>
                  <w:pPr>
                    <w:jc w:val="left"/>
                    <w:jc w:val="center"/>
                  </w:pPr>
                  <w:r>
                    <w:t xml:space="preserve">2673 (62.6)</w:t>
                  </w:r>
                </w:p>
              </w:tc>
              <w:tc>
                <w:tcPr>
                  <w:gridSpan w:val="1"/>
                  <w:vMerge w:val="continue"/>
                </w:tcPr>
                <w:p>
                  <w:pPr/>
                </w:p>
              </w:tc>
            </w:tr>
            <w:tr>
              <w:tc>
                <w:tcPr/>
                <w:p>
                  <w:pPr>
                    <w:jc w:val="left"/>
                    <w:jc w:val="center"/>
                  </w:pPr>
                  <w:r>
                    <w:t xml:space="preserve">  Dutch Antillean</w:t>
                  </w:r>
                </w:p>
              </w:tc>
              <w:tc>
                <w:tcPr/>
                <w:p>
                  <w:pPr>
                    <w:jc w:val="left"/>
                    <w:jc w:val="center"/>
                  </w:pPr>
                  <w:r>
                    <w:t xml:space="preserve">118 (2.8)</w:t>
                  </w:r>
                </w:p>
              </w:tc>
              <w:tc>
                <w:tcPr>
                  <w:gridSpan w:val="1"/>
                  <w:vMerge w:val="continue"/>
                </w:tcPr>
                <w:p>
                  <w:pPr/>
                </w:p>
              </w:tc>
            </w:tr>
            <w:tr>
              <w:tc>
                <w:tcPr/>
                <w:p>
                  <w:pPr>
                    <w:jc w:val="left"/>
                    <w:jc w:val="center"/>
                  </w:pPr>
                  <w:r>
                    <w:t xml:space="preserve">  Europe</w:t>
                  </w:r>
                  <w:r>
                    <w:t xml:space="preserve"> </w:t>
                  </w:r>
                  <w:r>
                    <w:rPr>
                      <w:vertAlign w:val="superscript"/>
                    </w:rPr>
                    <w:t xml:space="preserve">a</w:t>
                  </w:r>
                </w:p>
              </w:tc>
              <w:tc>
                <w:tcPr/>
                <w:p>
                  <w:pPr>
                    <w:jc w:val="left"/>
                    <w:jc w:val="center"/>
                  </w:pPr>
                  <w:r>
                    <w:t xml:space="preserve">334 (7.8)</w:t>
                  </w:r>
                </w:p>
              </w:tc>
              <w:tc>
                <w:tcPr>
                  <w:gridSpan w:val="1"/>
                  <w:vMerge w:val="continue"/>
                </w:tcPr>
                <w:p>
                  <w:pPr/>
                </w:p>
              </w:tc>
            </w:tr>
            <w:tr>
              <w:tc>
                <w:tcPr/>
                <w:p>
                  <w:pPr>
                    <w:jc w:val="left"/>
                    <w:jc w:val="center"/>
                  </w:pPr>
                  <w:r>
                    <w:t xml:space="preserve">  Latin America</w:t>
                  </w:r>
                  <w:r>
                    <w:t xml:space="preserve"> </w:t>
                  </w:r>
                  <w:r>
                    <w:rPr>
                      <w:vertAlign w:val="superscript"/>
                    </w:rPr>
                    <w:t xml:space="preserve">a</w:t>
                  </w:r>
                </w:p>
              </w:tc>
              <w:tc>
                <w:tcPr/>
                <w:p>
                  <w:pPr>
                    <w:jc w:val="left"/>
                    <w:jc w:val="center"/>
                  </w:pPr>
                  <w:r>
                    <w:t xml:space="preserve">72 (1.7)</w:t>
                  </w:r>
                </w:p>
              </w:tc>
              <w:tc>
                <w:tcPr>
                  <w:gridSpan w:val="1"/>
                  <w:vMerge w:val="continue"/>
                </w:tcPr>
                <w:p>
                  <w:pPr/>
                </w:p>
              </w:tc>
            </w:tr>
            <w:tr>
              <w:tc>
                <w:tcPr/>
                <w:p>
                  <w:pPr>
                    <w:jc w:val="left"/>
                    <w:jc w:val="center"/>
                  </w:pPr>
                  <w:r>
                    <w:t xml:space="preserve">  Moroccan</w:t>
                  </w:r>
                </w:p>
              </w:tc>
              <w:tc>
                <w:tcPr/>
                <w:p>
                  <w:pPr>
                    <w:jc w:val="left"/>
                    <w:jc w:val="center"/>
                  </w:pPr>
                  <w:r>
                    <w:t xml:space="preserve">176 (4.1)</w:t>
                  </w:r>
                </w:p>
              </w:tc>
              <w:tc>
                <w:tcPr>
                  <w:gridSpan w:val="1"/>
                  <w:vMerge w:val="continue"/>
                </w:tcPr>
                <w:p>
                  <w:pPr/>
                </w:p>
              </w:tc>
            </w:tr>
            <w:tr>
              <w:tc>
                <w:tcPr/>
                <w:p>
                  <w:pPr>
                    <w:jc w:val="left"/>
                    <w:jc w:val="center"/>
                  </w:pPr>
                  <w:r>
                    <w:t xml:space="preserve">  North America</w:t>
                  </w:r>
                  <w:r>
                    <w:t xml:space="preserve"> </w:t>
                  </w:r>
                  <w:r>
                    <w:rPr>
                      <w:vertAlign w:val="superscript"/>
                    </w:rPr>
                    <w:t xml:space="preserve">a</w:t>
                  </w:r>
                </w:p>
              </w:tc>
              <w:tc>
                <w:tcPr/>
                <w:p>
                  <w:pPr>
                    <w:jc w:val="left"/>
                    <w:jc w:val="center"/>
                  </w:pPr>
                  <w:r>
                    <w:t xml:space="preserve">25 (0.6)</w:t>
                  </w:r>
                </w:p>
              </w:tc>
              <w:tc>
                <w:tcPr>
                  <w:gridSpan w:val="1"/>
                  <w:vMerge w:val="continue"/>
                </w:tcPr>
                <w:p>
                  <w:pPr/>
                </w:p>
              </w:tc>
            </w:tr>
            <w:tr>
              <w:tc>
                <w:tcPr/>
                <w:p>
                  <w:pPr>
                    <w:jc w:val="left"/>
                    <w:jc w:val="center"/>
                  </w:pPr>
                  <w:r>
                    <w:t xml:space="preserve">  Surinamese</w:t>
                  </w:r>
                </w:p>
              </w:tc>
              <w:tc>
                <w:tcPr/>
                <w:p>
                  <w:pPr>
                    <w:jc w:val="left"/>
                    <w:jc w:val="center"/>
                  </w:pPr>
                  <w:r>
                    <w:t xml:space="preserve">296 (6.9)</w:t>
                  </w:r>
                </w:p>
              </w:tc>
              <w:tc>
                <w:tcPr>
                  <w:gridSpan w:val="1"/>
                  <w:vMerge w:val="continue"/>
                </w:tcPr>
                <w:p>
                  <w:pPr/>
                </w:p>
              </w:tc>
            </w:tr>
            <w:tr>
              <w:tc>
                <w:tcPr/>
                <w:p>
                  <w:pPr>
                    <w:jc w:val="left"/>
                    <w:jc w:val="center"/>
                  </w:pPr>
                  <w:r>
                    <w:t xml:space="preserve">  Turkish</w:t>
                  </w:r>
                </w:p>
              </w:tc>
              <w:tc>
                <w:tcPr/>
                <w:p>
                  <w:pPr>
                    <w:jc w:val="left"/>
                    <w:jc w:val="center"/>
                  </w:pPr>
                  <w:r>
                    <w:t xml:space="preserve">247 (5.8)</w:t>
                  </w:r>
                </w:p>
              </w:tc>
              <w:tc>
                <w:tcPr>
                  <w:gridSpan w:val="1"/>
                  <w:vMerge w:val="continue"/>
                </w:tcPr>
                <w:p>
                  <w:pPr/>
                </w:p>
              </w:tc>
            </w:tr>
            <w:tr>
              <w:tc>
                <w:tcPr/>
                <w:p>
                  <w:pPr>
                    <w:jc w:val="left"/>
                    <w:jc w:val="center"/>
                  </w:pPr>
                  <w:r>
                    <w:rPr>
                      <w:bCs/>
                      <w:b/>
                    </w:rPr>
                    <w:t xml:space="preserve">Age of the child</w:t>
                  </w:r>
                  <w:r>
                    <w:t xml:space="preserve">, median (range), years</w:t>
                  </w:r>
                </w:p>
              </w:tc>
              <w:tc>
                <w:tcPr/>
                <w:p>
                  <w:pPr>
                    <w:jc w:val="left"/>
                    <w:jc w:val="center"/>
                  </w:pPr>
                  <w:r>
                    <w:t xml:space="preserve">13.5 (12.6–16.6)</w:t>
                  </w:r>
                </w:p>
              </w:tc>
              <w:tc>
                <w:tcPr/>
                <w:p>
                  <w:pPr>
                    <w:jc w:val="left"/>
                    <w:jc w:val="center"/>
                  </w:pPr>
                  <w:r>
                    <w:t xml:space="preserve">13.5 (12.8–15.0)</w:t>
                  </w:r>
                </w:p>
              </w:tc>
            </w:tr>
            <w:tr>
              <w:tc>
                <w:tcPr/>
                <w:p>
                  <w:pPr>
                    <w:jc w:val="left"/>
                    <w:jc w:val="center"/>
                  </w:pPr>
                  <w:r>
                    <w:rPr>
                      <w:bCs/>
                      <w:b/>
                    </w:rPr>
                    <w:t xml:space="preserve">Pre-pregnancy</w:t>
                  </w:r>
                  <w:r>
                    <w:t xml:space="preserve"> </w:t>
                  </w:r>
                  <w:r>
                    <w:rPr>
                      <w:bCs/>
                      <w:b/>
                    </w:rPr>
                    <w:t xml:space="preserve">BMI</w:t>
                  </w:r>
                  <w:r>
                    <w:t xml:space="preserve">, median (range), kg/m</w:t>
                  </w:r>
                  <w:r>
                    <w:rPr>
                      <w:vertAlign w:val="superscript"/>
                    </w:rPr>
                    <w:t xml:space="preserve">2</w:t>
                  </w:r>
                </w:p>
              </w:tc>
              <w:tc>
                <w:tcPr/>
                <w:p>
                  <w:pPr>
                    <w:jc w:val="left"/>
                    <w:jc w:val="center"/>
                  </w:pPr>
                  <w:r>
                    <w:t xml:space="preserve">22.6 (14.4–50.2)</w:t>
                  </w:r>
                </w:p>
              </w:tc>
              <w:tc>
                <w:tcPr/>
                <w:p>
                  <w:pPr>
                    <w:jc w:val="left"/>
                    <w:jc w:val="center"/>
                  </w:pPr>
                  <w:r>
                    <w:t xml:space="preserve">22.1 (12.5–48.6)</w:t>
                  </w:r>
                </w:p>
              </w:tc>
            </w:tr>
            <w:tr>
              <w:tc>
                <w:tcPr>
                  <w:gridSpan w:val="3"/>
                </w:tcPr>
                <w:p>
                  <w:pPr>
                    <w:jc w:val="left"/>
                    <w:jc w:val="center"/>
                  </w:pPr>
                  <w:r>
                    <w:rPr>
                      <w:bCs/>
                      <w:b/>
                    </w:rPr>
                    <w:t xml:space="preserve">Maternal smoking</w:t>
                  </w:r>
                  <w:r>
                    <w:t xml:space="preserve">, n (%)</w:t>
                  </w:r>
                </w:p>
              </w:tc>
            </w:tr>
            <w:tr>
              <w:tc>
                <w:tcPr/>
                <w:p>
                  <w:pPr>
                    <w:jc w:val="left"/>
                    <w:jc w:val="center"/>
                  </w:pPr>
                  <w:r>
                    <w:t xml:space="preserve">  Never</w:t>
                  </w:r>
                </w:p>
              </w:tc>
              <w:tc>
                <w:tcPr/>
                <w:p>
                  <w:pPr>
                    <w:jc w:val="left"/>
                    <w:jc w:val="center"/>
                  </w:pPr>
                  <w:r>
                    <w:t xml:space="preserve">3228 (76)</w:t>
                  </w:r>
                </w:p>
              </w:tc>
              <w:tc>
                <w:tcPr/>
                <w:p>
                  <w:pPr>
                    <w:jc w:val="left"/>
                    <w:jc w:val="center"/>
                  </w:pPr>
                  <w:r>
                    <w:t xml:space="preserve">4412 (52)</w:t>
                  </w:r>
                </w:p>
              </w:tc>
            </w:tr>
            <w:tr>
              <w:tc>
                <w:tcPr/>
                <w:p>
                  <w:pPr>
                    <w:jc w:val="left"/>
                    <w:jc w:val="center"/>
                  </w:pPr>
                  <w:r>
                    <w:t xml:space="preserve">  Until (early) pregnancy</w:t>
                  </w:r>
                </w:p>
              </w:tc>
              <w:tc>
                <w:tcPr/>
                <w:p>
                  <w:pPr>
                    <w:jc w:val="left"/>
                    <w:jc w:val="center"/>
                  </w:pPr>
                  <w:r>
                    <w:t xml:space="preserve">390 (9)</w:t>
                  </w:r>
                </w:p>
              </w:tc>
              <w:tc>
                <w:tcPr/>
                <w:p>
                  <w:pPr>
                    <w:jc w:val="left"/>
                    <w:jc w:val="center"/>
                  </w:pPr>
                  <w:r>
                    <w:t xml:space="preserve">2524 (30)</w:t>
                  </w:r>
                </w:p>
              </w:tc>
            </w:tr>
            <w:tr>
              <w:tc>
                <w:tcPr/>
                <w:p>
                  <w:pPr>
                    <w:jc w:val="left"/>
                    <w:jc w:val="center"/>
                  </w:pPr>
                  <w:r>
                    <w:t xml:space="preserve">  During pregnancy</w:t>
                  </w:r>
                </w:p>
              </w:tc>
              <w:tc>
                <w:tcPr/>
                <w:p>
                  <w:pPr>
                    <w:jc w:val="left"/>
                    <w:jc w:val="center"/>
                  </w:pPr>
                  <w:r>
                    <w:t xml:space="preserve">650 (15)</w:t>
                  </w:r>
                </w:p>
              </w:tc>
              <w:tc>
                <w:tcPr/>
                <w:p>
                  <w:pPr>
                    <w:jc w:val="left"/>
                    <w:jc w:val="center"/>
                  </w:pPr>
                  <w:r>
                    <w:t xml:space="preserve">1492 (18)</w:t>
                  </w:r>
                </w:p>
              </w:tc>
            </w:tr>
            <w:tr>
              <w:tc>
                <w:tcPr>
                  <w:gridSpan w:val="3"/>
                </w:tcPr>
                <w:p>
                  <w:pPr>
                    <w:jc w:val="left"/>
                    <w:jc w:val="center"/>
                  </w:pPr>
                  <w:r>
                    <w:rPr>
                      <w:bCs/>
                      <w:b/>
                    </w:rPr>
                    <w:t xml:space="preserve">Maternal alcohol consumption</w:t>
                  </w:r>
                  <w:r>
                    <w:t xml:space="preserve">, GenR: n (%); ALSPAC: median (range)</w:t>
                  </w:r>
                </w:p>
              </w:tc>
            </w:tr>
            <w:tr>
              <w:tc>
                <w:tcPr/>
                <w:p>
                  <w:pPr>
                    <w:jc w:val="left"/>
                    <w:jc w:val="center"/>
                  </w:pPr>
                  <w:r>
                    <w:t xml:space="preserve">  Never</w:t>
                  </w:r>
                </w:p>
              </w:tc>
              <w:tc>
                <w:tcPr/>
                <w:p>
                  <w:pPr>
                    <w:jc w:val="left"/>
                    <w:jc w:val="center"/>
                  </w:pPr>
                  <w:r>
                    <w:t xml:space="preserve">1694 (40)</w:t>
                  </w:r>
                </w:p>
              </w:tc>
              <w:tc>
                <w:tcPr>
                  <w:vMerge w:val="restart"/>
                </w:tcPr>
                <w:p>
                  <w:pPr>
                    <w:jc w:val="left"/>
                    <w:jc w:val="center"/>
                  </w:pPr>
                  <w:r>
                    <w:t xml:space="preserve">0.50 (0 – 3.5)</w:t>
                  </w:r>
                </w:p>
              </w:tc>
            </w:tr>
            <w:tr>
              <w:tc>
                <w:tcPr/>
                <w:p>
                  <w:pPr>
                    <w:jc w:val="left"/>
                    <w:jc w:val="center"/>
                  </w:pPr>
                  <w:r>
                    <w:t xml:space="preserve">  Until early pregnancy</w:t>
                  </w:r>
                </w:p>
              </w:tc>
              <w:tc>
                <w:tcPr/>
                <w:p>
                  <w:pPr>
                    <w:jc w:val="left"/>
                    <w:jc w:val="center"/>
                  </w:pPr>
                  <w:r>
                    <w:t xml:space="preserve">596 (14)</w:t>
                  </w:r>
                </w:p>
              </w:tc>
              <w:tc>
                <w:tcPr>
                  <w:gridSpan w:val="1"/>
                  <w:vMerge w:val="continue"/>
                </w:tcPr>
                <w:p>
                  <w:pPr/>
                </w:p>
              </w:tc>
            </w:tr>
            <w:tr>
              <w:tc>
                <w:tcPr/>
                <w:p>
                  <w:pPr>
                    <w:jc w:val="left"/>
                    <w:jc w:val="center"/>
                  </w:pPr>
                  <w:r>
                    <w:t xml:space="preserve">  Continued occasionally</w:t>
                  </w:r>
                </w:p>
              </w:tc>
              <w:tc>
                <w:tcPr/>
                <w:p>
                  <w:pPr>
                    <w:jc w:val="left"/>
                    <w:jc w:val="center"/>
                  </w:pPr>
                  <w:r>
                    <w:t xml:space="preserve">1570 (37)</w:t>
                  </w:r>
                </w:p>
              </w:tc>
              <w:tc>
                <w:tcPr>
                  <w:gridSpan w:val="1"/>
                  <w:vMerge w:val="continue"/>
                </w:tcPr>
                <w:p>
                  <w:pPr/>
                </w:p>
              </w:tc>
            </w:tr>
            <w:tr>
              <w:tc>
                <w:tcPr/>
                <w:p>
                  <w:pPr>
                    <w:jc w:val="left"/>
                    <w:jc w:val="center"/>
                  </w:pPr>
                  <w:r>
                    <w:t xml:space="preserve">  Continued frequently</w:t>
                  </w:r>
                </w:p>
              </w:tc>
              <w:tc>
                <w:tcPr/>
                <w:p>
                  <w:pPr>
                    <w:jc w:val="left"/>
                    <w:jc w:val="center"/>
                  </w:pPr>
                  <w:r>
                    <w:t xml:space="preserve">407 (10)</w:t>
                  </w:r>
                </w:p>
              </w:tc>
              <w:tc>
                <w:tcPr>
                  <w:gridSpan w:val="1"/>
                  <w:vMerge w:val="continue"/>
                </w:tcPr>
                <w:p>
                  <w:pPr/>
                </w:p>
              </w:tc>
            </w:tr>
            <w:tr>
              <w:tc>
                <w:tcPr>
                  <w:gridSpan w:val="3"/>
                </w:tcPr>
                <w:p>
                  <w:pPr>
                    <w:jc w:val="left"/>
                    <w:jc w:val="center"/>
                  </w:pPr>
                  <w:r>
                    <w:rPr>
                      <w:bCs/>
                      <w:b/>
                    </w:rPr>
                    <w:t xml:space="preserve">Maternal education</w:t>
                  </w:r>
                  <w:r>
                    <w:t xml:space="preserve">, n (%)</w:t>
                  </w:r>
                  <w:r>
                    <w:t xml:space="preserve"> </w:t>
                  </w:r>
                  <w:r>
                    <w:rPr>
                      <w:vertAlign w:val="superscript"/>
                    </w:rPr>
                    <w:t xml:space="preserve">b</w:t>
                  </w:r>
                </w:p>
              </w:tc>
            </w:tr>
            <w:tr>
              <w:tc>
                <w:tcPr/>
                <w:p>
                  <w:pPr>
                    <w:jc w:val="left"/>
                    <w:jc w:val="center"/>
                  </w:pPr>
                  <w:r>
                    <w:t xml:space="preserve">  Low</w:t>
                  </w:r>
                </w:p>
              </w:tc>
              <w:tc>
                <w:tcPr/>
                <w:p>
                  <w:pPr>
                    <w:jc w:val="left"/>
                    <w:jc w:val="center"/>
                  </w:pPr>
                  <w:r>
                    <w:t xml:space="preserve">1716 (40.2)</w:t>
                  </w:r>
                </w:p>
              </w:tc>
              <w:tc>
                <w:tcPr/>
                <w:p>
                  <w:pPr>
                    <w:jc w:val="left"/>
                    <w:jc w:val="center"/>
                  </w:pPr>
                  <w:r>
                    <w:t xml:space="preserve">4216 (50.0)</w:t>
                  </w:r>
                </w:p>
              </w:tc>
            </w:tr>
            <w:tr>
              <w:tc>
                <w:tcPr/>
                <w:p>
                  <w:pPr>
                    <w:jc w:val="left"/>
                    <w:jc w:val="center"/>
                  </w:pPr>
                  <w:r>
                    <w:t xml:space="preserve">  Medium</w:t>
                  </w:r>
                </w:p>
              </w:tc>
              <w:tc>
                <w:tcPr/>
                <w:p>
                  <w:pPr>
                    <w:jc w:val="left"/>
                    <w:jc w:val="center"/>
                  </w:pPr>
                  <w:r>
                    <w:t xml:space="preserve">1278 (29.9)</w:t>
                  </w:r>
                </w:p>
              </w:tc>
              <w:tc>
                <w:tcPr/>
                <w:p>
                  <w:pPr>
                    <w:jc w:val="left"/>
                    <w:jc w:val="center"/>
                  </w:pPr>
                  <w:r>
                    <w:t xml:space="preserve">3001 (35.6)</w:t>
                  </w:r>
                </w:p>
              </w:tc>
            </w:tr>
            <w:tr>
              <w:tc>
                <w:tcPr/>
                <w:p>
                  <w:pPr>
                    <w:jc w:val="left"/>
                    <w:jc w:val="center"/>
                  </w:pPr>
                  <w:r>
                    <w:t xml:space="preserve">  High</w:t>
                  </w:r>
                </w:p>
              </w:tc>
              <w:tc>
                <w:tcPr/>
                <w:p>
                  <w:pPr>
                    <w:jc w:val="left"/>
                    <w:jc w:val="center"/>
                  </w:pPr>
                  <w:r>
                    <w:t xml:space="preserve">1274 (29.9)</w:t>
                  </w:r>
                </w:p>
              </w:tc>
              <w:tc>
                <w:tcPr/>
                <w:p>
                  <w:pPr>
                    <w:jc w:val="left"/>
                    <w:jc w:val="center"/>
                  </w:pPr>
                  <w:r>
                    <w:t xml:space="preserve">1212 (14.4)</w:t>
                  </w:r>
                </w:p>
              </w:tc>
            </w:tr>
            <w:tr>
              <w:tc>
                <w:tcPr>
                  <w:gridSpan w:val="3"/>
                </w:tcPr>
                <w:p>
                  <w:pPr>
                    <w:jc w:val="left"/>
                    <w:jc w:val="center"/>
                  </w:pPr>
                  <w:r>
                    <w:rPr>
                      <w:bCs/>
                      <w:b/>
                    </w:rPr>
                    <w:t xml:space="preserve">Household income</w:t>
                  </w:r>
                  <w:r>
                    <w:t xml:space="preserve">, n (%)</w:t>
                  </w:r>
                  <w:r>
                    <w:t xml:space="preserve"> </w:t>
                  </w:r>
                  <w:r>
                    <w:rPr>
                      <w:vertAlign w:val="superscript"/>
                    </w:rPr>
                    <w:t xml:space="preserve">c</w:t>
                  </w:r>
                </w:p>
              </w:tc>
            </w:tr>
            <w:tr>
              <w:tc>
                <w:tcPr/>
                <w:p>
                  <w:pPr>
                    <w:jc w:val="left"/>
                    <w:jc w:val="center"/>
                  </w:pPr>
                  <w:r>
                    <w:t xml:space="preserve">  Low</w:t>
                  </w:r>
                </w:p>
              </w:tc>
              <w:tc>
                <w:tcPr/>
                <w:p>
                  <w:pPr>
                    <w:jc w:val="left"/>
                    <w:jc w:val="center"/>
                  </w:pPr>
                  <w:r>
                    <w:t xml:space="preserve">702 (16.4)</w:t>
                  </w:r>
                </w:p>
              </w:tc>
              <w:tc>
                <w:tcPr/>
                <w:p>
                  <w:pPr>
                    <w:jc w:val="left"/>
                    <w:jc w:val="center"/>
                  </w:pPr>
                  <w:r>
                    <w:t xml:space="preserve">1318 (15.6)</w:t>
                  </w:r>
                </w:p>
              </w:tc>
            </w:tr>
            <w:tr>
              <w:tc>
                <w:tcPr/>
                <w:p>
                  <w:pPr>
                    <w:jc w:val="left"/>
                    <w:jc w:val="center"/>
                  </w:pPr>
                  <w:r>
                    <w:t xml:space="preserve">  Medium</w:t>
                  </w:r>
                </w:p>
              </w:tc>
              <w:tc>
                <w:tcPr/>
                <w:p>
                  <w:pPr>
                    <w:jc w:val="left"/>
                    <w:jc w:val="center"/>
                  </w:pPr>
                  <w:r>
                    <w:t xml:space="preserve">2070 (48.5)</w:t>
                  </w:r>
                </w:p>
              </w:tc>
              <w:tc>
                <w:tcPr/>
                <w:p>
                  <w:pPr>
                    <w:jc w:val="left"/>
                    <w:jc w:val="center"/>
                  </w:pPr>
                  <w:r>
                    <w:t xml:space="preserve">4324 (51.3)</w:t>
                  </w:r>
                </w:p>
              </w:tc>
            </w:tr>
            <w:tr>
              <w:tc>
                <w:tcPr/>
                <w:p>
                  <w:pPr>
                    <w:jc w:val="left"/>
                    <w:jc w:val="center"/>
                  </w:pPr>
                  <w:r>
                    <w:t xml:space="preserve">  High</w:t>
                  </w:r>
                </w:p>
              </w:tc>
              <w:tc>
                <w:tcPr/>
                <w:p>
                  <w:pPr>
                    <w:jc w:val="left"/>
                    <w:jc w:val="center"/>
                  </w:pPr>
                  <w:r>
                    <w:t xml:space="preserve">1497 (35.1)</w:t>
                  </w:r>
                </w:p>
              </w:tc>
              <w:tc>
                <w:tcPr/>
                <w:p>
                  <w:pPr>
                    <w:jc w:val="left"/>
                    <w:jc w:val="center"/>
                  </w:pPr>
                  <w:r>
                    <w:t xml:space="preserve">2786 (33.1)</w:t>
                  </w:r>
                </w:p>
              </w:tc>
            </w:tr>
            <w:tr>
              <w:tc>
                <w:tcPr>
                  <w:gridSpan w:val="3"/>
                </w:tcPr>
                <w:p>
                  <w:pPr>
                    <w:pStyle w:val="Compact"/>
                    <w:jc w:val="left"/>
                    <w:jc w:val="center"/>
                  </w:pPr>
                  <w:r>
                    <w:rPr>
                      <w:u w:val="single"/>
                    </w:rPr>
                    <w:t xml:space="preserve">Note</w:t>
                  </w:r>
                  <w:r>
                    <w:t xml:space="preserve">: Sample descriptives pooled across 30 imputed datasets. BMI = Body-mass index.</w:t>
                  </w:r>
                </w:p>
              </w:tc>
            </w:tr>
            <w:tr>
              <w:tc>
                <w:tcPr>
                  <w:gridSpan w:val="3"/>
                </w:tcPr>
                <w:p>
                  <w:pPr>
                    <w:pStyle w:val="Compact"/>
                    <w:jc w:val="left"/>
                    <w:jc w:val="center"/>
                  </w:pPr>
                  <w:r>
                    <w:rPr>
                      <w:vertAlign w:val="superscript"/>
                    </w:rPr>
                    <w:t xml:space="preserve">a</w:t>
                  </w:r>
                  <w:r>
                    <w:t xml:space="preserve"> </w:t>
                  </w:r>
                  <w:r>
                    <w:rPr>
                      <w:bCs/>
                      <w:b/>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left"/>
                    <w:jc w:val="center"/>
                  </w:pPr>
                  <w:r>
                    <w:rPr>
                      <w:vertAlign w:val="superscript"/>
                    </w:rPr>
                    <w:t xml:space="preserve">b</w:t>
                  </w:r>
                  <w:r>
                    <w:t xml:space="preserve"> </w:t>
                  </w:r>
                  <w:r>
                    <w:rPr>
                      <w:bCs/>
                      <w:b/>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left"/>
                    <w:jc w:val="center"/>
                  </w:pPr>
                  <w:r>
                    <w:rPr>
                      <w:vertAlign w:val="superscript"/>
                    </w:rPr>
                    <w:t xml:space="preserve">c</w:t>
                  </w:r>
                  <w:r>
                    <w:t xml:space="preserve"> </w:t>
                  </w:r>
                  <w:r>
                    <w:rPr>
                      <w:bCs/>
                      <w:b/>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97"/>
          <w:p/>
        </w:tc>
      </w:tr>
    </w:tbl>
    <w:bookmarkEnd w:id="98"/>
    <w:bookmarkStart w:id="103" w:name="X90721e8e1b66927e6d0809cc006a98bafd79f04"/>
    <w:p>
      <w:pPr>
        <w:pStyle w:val="Heading3"/>
      </w:pPr>
      <w:r>
        <w:t xml:space="preserve">2.3.2 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1.2">
        <w:r>
          <w:rPr>
            <w:rStyle w:val="Hyperlink"/>
          </w:rPr>
          <w:t xml:space="preserve">Figure 2.2</w:t>
        </w:r>
      </w:hyperlink>
      <w:r>
        <w:t xml:space="preserve"> </w:t>
      </w:r>
      <w:r>
        <w:t xml:space="preserve">and online</w:t>
      </w:r>
      <w:r>
        <w:t xml:space="preserve"> </w:t>
      </w:r>
      <w:r>
        <w:rPr>
          <w:bCs/>
          <w:b/>
        </w:rPr>
        <w:t xml:space="preserve">Table S2</w:t>
      </w:r>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ook w:firstRow="0" w:lastRow="0" w:firstColumn="0" w:lastColumn="0" w:noHBand="0" w:noVBand="0" w:val="0000"/>
        <w:jc w:val="start"/>
        <w:tblLayout w:type="fixed"/>
      </w:tblPr>
      <w:tblGrid>
        <w:gridCol w:w="7920"/>
      </w:tblGrid>
      <w:tr>
        <w:tc>
          <w:tcPr/>
          <w:bookmarkStart w:id="102" w:name="fig-1.2"/>
          <w:p>
            <w:pPr>
              <w:pStyle w:val="Compact"/>
              <w:jc w:val="center"/>
            </w:pPr>
            <w:r>
              <w:drawing>
                <wp:inline>
                  <wp:extent cx="5334000" cy="7548282"/>
                  <wp:effectExtent b="0" l="0" r="0" t="0"/>
                  <wp:docPr descr="" title="" id="100" name="Picture"/>
                  <a:graphic>
                    <a:graphicData uri="http://schemas.openxmlformats.org/drawingml/2006/picture">
                      <pic:pic>
                        <pic:nvPicPr>
                          <pic:cNvPr descr="2.Chapter/F2_CMAres.pdf" id="101" name="Picture"/>
                          <pic:cNvPicPr>
                            <a:picLocks noChangeArrowheads="1" noChangeAspect="1"/>
                          </pic:cNvPicPr>
                        </pic:nvPicPr>
                        <pic:blipFill>
                          <a:blip r:embed="rId99"/>
                          <a:stretch>
                            <a:fillRect/>
                          </a:stretch>
                        </pic:blipFill>
                        <pic:spPr bwMode="auto">
                          <a:xfrm>
                            <a:off x="0" y="0"/>
                            <a:ext cx="5334000" cy="7548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Cs/>
                <w:b/>
              </w:rPr>
              <w:t xml:space="preserve">Prenatal early-life stress (ELS) contribution (causal mediation analysis results)</w:t>
            </w:r>
            <w:r>
              <w:t xml:space="preserve">Note: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02"/>
        </w:tc>
      </w:tr>
    </w:tbl>
    <w:bookmarkEnd w:id="103"/>
    <w:bookmarkStart w:id="108" w:name="Xc884e00ee4abf5fccde3c715468088330205197"/>
    <w:p>
      <w:pPr>
        <w:pStyle w:val="Heading3"/>
      </w:pPr>
      <w:r>
        <w:t xml:space="preserve">2.3.3 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1.3">
        <w:r>
          <w:rPr>
            <w:rStyle w:val="Hyperlink"/>
          </w:rPr>
          <w:t xml:space="preserve">Figure 2.3</w:t>
        </w:r>
      </w:hyperlink>
      <w:r>
        <w:t xml:space="preserve">; online</w:t>
      </w:r>
      <w:r>
        <w:t xml:space="preserve"> </w:t>
      </w:r>
      <w:r>
        <w:rPr>
          <w:bCs/>
          <w:b/>
        </w:rPr>
        <w:t xml:space="preserve">Tables S3 and S4</w:t>
      </w:r>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ook w:firstRow="0" w:lastRow="0" w:firstColumn="0" w:lastColumn="0" w:noHBand="0" w:noVBand="0" w:val="0000"/>
        <w:jc w:val="start"/>
        <w:tblLayout w:type="fixed"/>
      </w:tblPr>
      <w:tblGrid>
        <w:gridCol w:w="7920"/>
      </w:tblGrid>
      <w:tr>
        <w:tc>
          <w:tcPr/>
          <w:bookmarkStart w:id="107" w:name="fig-1.3"/>
          <w:p>
            <w:pPr>
              <w:pStyle w:val="Compact"/>
              <w:jc w:val="center"/>
            </w:pPr>
            <w:r>
              <w:drawing>
                <wp:inline>
                  <wp:extent cx="5334000" cy="7548282"/>
                  <wp:effectExtent b="0" l="0" r="0" t="0"/>
                  <wp:docPr descr="" title="" id="105" name="Picture"/>
                  <a:graphic>
                    <a:graphicData uri="http://schemas.openxmlformats.org/drawingml/2006/picture">
                      <pic:pic>
                        <pic:nvPicPr>
                          <pic:cNvPr descr="2.Chapter/F3_regress.pdf" id="106" name="Picture"/>
                          <pic:cNvPicPr>
                            <a:picLocks noChangeArrowheads="1" noChangeAspect="1"/>
                          </pic:cNvPicPr>
                        </pic:nvPicPr>
                        <pic:blipFill>
                          <a:blip r:embed="rId104"/>
                          <a:stretch>
                            <a:fillRect/>
                          </a:stretch>
                        </pic:blipFill>
                        <pic:spPr bwMode="auto">
                          <a:xfrm>
                            <a:off x="0" y="0"/>
                            <a:ext cx="5334000" cy="7548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Cs/>
                <w:b/>
              </w:rPr>
              <w:t xml:space="preserve">Postnatal early-life stress (ELS) contribution (hierarchical regression results)</w:t>
            </w:r>
            <w:r>
              <w:t xml:space="preserve">Note: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07"/>
        </w:tc>
      </w:tr>
    </w:tbl>
    <w:bookmarkEnd w:id="108"/>
    <w:bookmarkStart w:id="113" w:name="X4c0da10dfb8659469a9bf67f306f28e27d2aad3"/>
    <w:p>
      <w:pPr>
        <w:pStyle w:val="Heading3"/>
      </w:pPr>
      <w:r>
        <w:t xml:space="preserve">2.3.4 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1.4">
        <w:r>
          <w:rPr>
            <w:rStyle w:val="Hyperlink"/>
          </w:rPr>
          <w:t xml:space="preserve">Figure 2.4</w:t>
        </w:r>
      </w:hyperlink>
      <w:r>
        <w:t xml:space="preserve"> </w:t>
      </w:r>
      <w:r>
        <w:t xml:space="preserve">and online</w:t>
      </w:r>
      <w:r>
        <w:t xml:space="preserve"> </w:t>
      </w:r>
      <w:r>
        <w:rPr>
          <w:bCs/>
          <w:b/>
        </w:rPr>
        <w:t xml:space="preserve">Table S5</w:t>
      </w:r>
      <w:r>
        <w:t xml:space="preserve">). This association was the strongest compared to all other (single-outcome) groups. However, the CIs of the comorbidity estimates did overlap with those of high internalizing only (</w:t>
      </w:r>
      <w:hyperlink w:anchor="fig-1.4">
        <w:r>
          <w:rPr>
            <w:rStyle w:val="Hyperlink"/>
          </w:rPr>
          <w:t xml:space="preserve">Figure 2.4</w:t>
        </w:r>
      </w:hyperlink>
      <w:r>
        <w:t xml:space="preserve"> </w:t>
      </w:r>
      <w:r>
        <w:t xml:space="preserve">C and D).</w:t>
      </w:r>
    </w:p>
    <w:tbl>
      <w:tblPr>
        <w:tblStyle w:val="Table"/>
        <w:tblW w:type="pct" w:w="5000"/>
        <w:tblLook w:firstRow="0" w:lastRow="0" w:firstColumn="0" w:lastColumn="0" w:noHBand="0" w:noVBand="0" w:val="0000"/>
        <w:jc w:val="start"/>
        <w:tblLayout w:type="fixed"/>
      </w:tblPr>
      <w:tblGrid>
        <w:gridCol w:w="7920"/>
      </w:tblGrid>
      <w:tr>
        <w:tc>
          <w:tcPr/>
          <w:bookmarkStart w:id="112" w:name="fig-1.4"/>
          <w:p>
            <w:pPr>
              <w:pStyle w:val="Compact"/>
              <w:jc w:val="center"/>
            </w:pPr>
            <w:r>
              <w:drawing>
                <wp:inline>
                  <wp:extent cx="5334000" cy="7548282"/>
                  <wp:effectExtent b="0" l="0" r="0" t="0"/>
                  <wp:docPr descr="" title="" id="110" name="Picture"/>
                  <a:graphic>
                    <a:graphicData uri="http://schemas.openxmlformats.org/drawingml/2006/picture">
                      <pic:pic>
                        <pic:nvPicPr>
                          <pic:cNvPr descr="2.Chapter/F4_comorb.pdf" id="111" name="Picture"/>
                          <pic:cNvPicPr>
                            <a:picLocks noChangeArrowheads="1" noChangeAspect="1"/>
                          </pic:cNvPicPr>
                        </pic:nvPicPr>
                        <pic:blipFill>
                          <a:blip r:embed="rId109"/>
                          <a:stretch>
                            <a:fillRect/>
                          </a:stretch>
                        </pic:blipFill>
                        <pic:spPr bwMode="auto">
                          <a:xfrm>
                            <a:off x="0" y="0"/>
                            <a:ext cx="5334000" cy="7548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Cs/>
                <w:b/>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12"/>
        </w:tc>
      </w:tr>
    </w:tbl>
    <w:bookmarkEnd w:id="113"/>
    <w:bookmarkStart w:id="117" w:name="follow-up-analyses"/>
    <w:p>
      <w:pPr>
        <w:pStyle w:val="Heading3"/>
      </w:pPr>
      <w:r>
        <w:t xml:space="preserve">2.3.5 Follow-up analyses</w:t>
      </w:r>
    </w:p>
    <w:bookmarkStart w:id="114"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Cs/>
          <w:i/>
        </w:rPr>
        <w:t xml:space="preserve">Z</w:t>
      </w:r>
      <w:r>
        <w:t xml:space="preserve">=1.89,</w:t>
      </w:r>
      <w:r>
        <w:t xml:space="preserve"> </w:t>
      </w:r>
      <w:r>
        <w:rPr>
          <w:iCs/>
          <w:i/>
        </w:rPr>
        <w:t xml:space="preserve">p</w:t>
      </w:r>
      <w:r>
        <w:t xml:space="preserve">=.029), whereas that of postnatal ELS was slightly larger in boys (</w:t>
      </w:r>
      <w:r>
        <w:rPr>
          <w:iCs/>
          <w:i/>
        </w:rPr>
        <w:t xml:space="preserve">Z</w:t>
      </w:r>
      <w:r>
        <w:t xml:space="preserve">=-1.38,</w:t>
      </w:r>
      <w:r>
        <w:t xml:space="preserve"> </w:t>
      </w:r>
      <w:r>
        <w:rPr>
          <w:iCs/>
          <w:i/>
        </w:rPr>
        <w:t xml:space="preserve">p</w:t>
      </w:r>
      <w:r>
        <w:t xml:space="preserve">=.083). A similar pattern of associations was found in ALSPAC but with smaller magnitudes (see</w:t>
      </w:r>
      <w:r>
        <w:t xml:space="preserve"> </w:t>
      </w:r>
      <w:r>
        <w:rPr>
          <w:bCs/>
          <w:b/>
        </w:rPr>
        <w:t xml:space="preserve">Figures S2-S4</w:t>
      </w:r>
      <w:r>
        <w:t xml:space="preserve"> </w:t>
      </w:r>
      <w:r>
        <w:t xml:space="preserve">and</w:t>
      </w:r>
      <w:r>
        <w:t xml:space="preserve"> </w:t>
      </w:r>
      <w:r>
        <w:rPr>
          <w:bCs/>
          <w:b/>
        </w:rPr>
        <w:t xml:space="preserve">Tables S6-S9</w:t>
      </w:r>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r>
        <w:rPr>
          <w:bCs/>
          <w:b/>
        </w:rPr>
        <w:t xml:space="preserve">Figure S5-B</w:t>
      </w:r>
      <w:r>
        <w:t xml:space="preserve">). We did not find evidence for a significant interaction between pre- or postnatal ELS and the examined ethnic background groups on any outcome of interest (i.e., internalizing symptoms, adiposity or comorbidity; see</w:t>
      </w:r>
      <w:r>
        <w:t xml:space="preserve"> </w:t>
      </w:r>
      <w:r>
        <w:rPr>
          <w:bCs/>
          <w:b/>
        </w:rPr>
        <w:t xml:space="preserve">Table S10</w:t>
      </w:r>
      <w:r>
        <w:t xml:space="preserve"> </w:t>
      </w:r>
      <w:r>
        <w:t xml:space="preserve">and</w:t>
      </w:r>
      <w:r>
        <w:t xml:space="preserve"> </w:t>
      </w:r>
      <w:r>
        <w:rPr>
          <w:bCs/>
          <w:b/>
        </w:rPr>
        <w:t xml:space="preserve">Figure S5-C</w:t>
      </w:r>
      <w:r>
        <w:t xml:space="preserve">, available online). Note however that the association between pre-/postnatal ELS and comorbidity in the</w:t>
      </w:r>
      <w:r>
        <w:t xml:space="preserve"> </w:t>
      </w:r>
      <w:r>
        <w:t xml:space="preserve">“</w:t>
      </w:r>
      <w:r>
        <w:t xml:space="preserve">North American</w:t>
      </w:r>
      <w:r>
        <w:t xml:space="preserve">”</w:t>
      </w:r>
      <w:r>
        <w:t xml:space="preserve"> </w:t>
      </w:r>
      <w:r>
        <w:t xml:space="preserve">group could not be estimated due to insufficient number of observations (i.e., comorbidity group size ≤ 5).</w:t>
      </w:r>
    </w:p>
    <w:bookmarkEnd w:id="114"/>
    <w:bookmarkStart w:id="115"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r>
        <w:rPr>
          <w:bCs/>
          <w:b/>
        </w:rPr>
        <w:t xml:space="preserve">Figure S6</w:t>
      </w:r>
      <w:r>
        <w:t xml:space="preserve"> </w:t>
      </w:r>
      <w:r>
        <w:t xml:space="preserve">and</w:t>
      </w:r>
      <w:r>
        <w:t xml:space="preserve"> </w:t>
      </w:r>
      <w:r>
        <w:rPr>
          <w:bCs/>
          <w:b/>
        </w:rPr>
        <w:t xml:space="preserve">Table S11</w:t>
      </w:r>
      <w:r>
        <w:t xml:space="preserve">, available online). We found no consistent associations for adiposity. Only postnatal parental risk was consistently associated comorbidity status (vs. healthy) across cohorts (see</w:t>
      </w:r>
      <w:r>
        <w:t xml:space="preserve"> </w:t>
      </w:r>
      <w:r>
        <w:rPr>
          <w:bCs/>
          <w:b/>
        </w:rPr>
        <w:t xml:space="preserve">Figure S7</w:t>
      </w:r>
      <w:r>
        <w:t xml:space="preserve"> </w:t>
      </w:r>
      <w:r>
        <w:t xml:space="preserve">and</w:t>
      </w:r>
      <w:r>
        <w:t xml:space="preserve"> </w:t>
      </w:r>
      <w:r>
        <w:rPr>
          <w:bCs/>
          <w:b/>
        </w:rPr>
        <w:t xml:space="preserve">Table S12</w:t>
      </w:r>
      <w:r>
        <w:t xml:space="preserve">, available online).</w:t>
      </w:r>
    </w:p>
    <w:bookmarkEnd w:id="115"/>
    <w:bookmarkStart w:id="116"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r>
        <w:rPr>
          <w:bCs/>
          <w:b/>
        </w:rPr>
        <w:t xml:space="preserve">Figure S8</w:t>
      </w:r>
      <w:r>
        <w:t xml:space="preserve"> </w:t>
      </w:r>
      <w:r>
        <w:t xml:space="preserve">and</w:t>
      </w:r>
      <w:r>
        <w:t xml:space="preserve"> </w:t>
      </w:r>
      <w:r>
        <w:rPr>
          <w:bCs/>
          <w:b/>
        </w:rPr>
        <w:t xml:space="preserve">Tables S13-S15</w:t>
      </w:r>
      <w:r>
        <w:t xml:space="preserve">, available online), nor did the use of android fat mass rather than fat mass percentage as a proxy of adiposity (see</w:t>
      </w:r>
      <w:r>
        <w:t xml:space="preserve"> </w:t>
      </w:r>
      <w:r>
        <w:rPr>
          <w:bCs/>
          <w:b/>
        </w:rPr>
        <w:t xml:space="preserve">Figure S9</w:t>
      </w:r>
      <w:r>
        <w:t xml:space="preserve"> </w:t>
      </w:r>
      <w:r>
        <w:t xml:space="preserve">and</w:t>
      </w:r>
      <w:r>
        <w:t xml:space="preserve"> </w:t>
      </w:r>
      <w:r>
        <w:rPr>
          <w:bCs/>
          <w:b/>
        </w:rPr>
        <w:t xml:space="preserve">Table S16</w:t>
      </w:r>
      <w:r>
        <w:t xml:space="preserve">, available online). None of the main conclusions was impacted by FDR correction.</w:t>
      </w:r>
    </w:p>
    <w:bookmarkEnd w:id="116"/>
    <w:bookmarkEnd w:id="117"/>
    <w:bookmarkEnd w:id="118"/>
    <w:bookmarkStart w:id="119"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w:t>
      </w:r>
      <w:r>
        <w:t xml:space="preserve">direct</w:t>
      </w:r>
      <w:r>
        <w:t xml:space="preserve">”</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19"/>
    <w:bookmarkStart w:id="193" w:name="references-1"/>
    <w:p>
      <w:pPr>
        <w:pStyle w:val="Heading2"/>
      </w:pPr>
      <w:r>
        <w:t xml:space="preserve">References</w:t>
      </w:r>
    </w:p>
    <w:bookmarkStart w:id="192" w:name="refs--2"/>
    <w:bookmarkStart w:id="120" w:name="ref-Achenbach1999"/>
    <w:p>
      <w:pPr>
        <w:pStyle w:val="FirstParagraph"/>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120"/>
    <w:bookmarkStart w:id="121" w:name="ref-Alders2001"/>
    <w:p>
      <w:pPr>
        <w:pStyle w:val="BodyText"/>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121"/>
    <w:bookmarkStart w:id="122" w:name="ref-Anwar2018"/>
    <w:p>
      <w:pPr>
        <w:pStyle w:val="BodyText"/>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122"/>
    <w:bookmarkStart w:id="123" w:name="ref-Barker1998"/>
    <w:p>
      <w:pPr>
        <w:pStyle w:val="BodyText"/>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123"/>
    <w:bookmarkStart w:id="125"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24">
        <w:r>
          <w:rPr>
            <w:rStyle w:val="Hyperlink"/>
          </w:rPr>
          <w:t xml:space="preserve">https://doi.org/10.1016/S0140-6736(12)60240-2</w:t>
        </w:r>
      </w:hyperlink>
    </w:p>
    <w:bookmarkEnd w:id="125"/>
    <w:bookmarkStart w:id="127"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127"/>
    <w:bookmarkStart w:id="129"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28">
        <w:r>
          <w:rPr>
            <w:rStyle w:val="Hyperlink"/>
          </w:rPr>
          <w:t xml:space="preserve">https://doi.org/10.1038/s41366-019-0423-z</w:t>
        </w:r>
      </w:hyperlink>
    </w:p>
    <w:bookmarkEnd w:id="129"/>
    <w:bookmarkStart w:id="131"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30">
        <w:r>
          <w:rPr>
            <w:rStyle w:val="Hyperlink"/>
          </w:rPr>
          <w:t xml:space="preserve">https://doi.org/10.1038/mp.2014.95</w:t>
        </w:r>
      </w:hyperlink>
    </w:p>
    <w:bookmarkEnd w:id="131"/>
    <w:bookmarkStart w:id="133" w:name="ref-Cecil2017"/>
    <w:p>
      <w:pPr>
        <w:pStyle w:val="BodyText"/>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32">
        <w:r>
          <w:rPr>
            <w:rStyle w:val="Hyperlink"/>
          </w:rPr>
          <w:t xml:space="preserve">https://doi.org/10.1016/j.chiabu.2016.11.024</w:t>
        </w:r>
      </w:hyperlink>
    </w:p>
    <w:bookmarkEnd w:id="133"/>
    <w:bookmarkStart w:id="135"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34">
        <w:r>
          <w:rPr>
            <w:rStyle w:val="Hyperlink"/>
          </w:rPr>
          <w:t xml:space="preserve">https://doi.org/10.1017/S0033291721004311</w:t>
        </w:r>
      </w:hyperlink>
    </w:p>
    <w:bookmarkEnd w:id="135"/>
    <w:bookmarkStart w:id="136"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136"/>
    <w:bookmarkStart w:id="138"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37">
        <w:r>
          <w:rPr>
            <w:rStyle w:val="Hyperlink"/>
          </w:rPr>
          <w:t xml:space="preserve">https://doi.org/10.1016/j.jclinepi.2007.11.008</w:t>
        </w:r>
      </w:hyperlink>
    </w:p>
    <w:bookmarkEnd w:id="138"/>
    <w:bookmarkStart w:id="140"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39">
        <w:r>
          <w:rPr>
            <w:rStyle w:val="Hyperlink"/>
          </w:rPr>
          <w:t xml:space="preserve">https://doi.org/10.1002/oby.21797</w:t>
        </w:r>
      </w:hyperlink>
    </w:p>
    <w:bookmarkEnd w:id="140"/>
    <w:bookmarkStart w:id="142" w:name="ref-Entringer2013"/>
    <w:p>
      <w:pPr>
        <w:pStyle w:val="BodyText"/>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41">
        <w:r>
          <w:rPr>
            <w:rStyle w:val="Hyperlink"/>
          </w:rPr>
          <w:t xml:space="preserve">https://doi.org/10.1097/MCO.0b013e32835e8d80</w:t>
        </w:r>
      </w:hyperlink>
    </w:p>
    <w:bookmarkEnd w:id="142"/>
    <w:bookmarkStart w:id="144"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43">
        <w:r>
          <w:rPr>
            <w:rStyle w:val="Hyperlink"/>
          </w:rPr>
          <w:t xml:space="preserve">https://doi.org/10.1155/2012/632548</w:t>
        </w:r>
      </w:hyperlink>
    </w:p>
    <w:bookmarkEnd w:id="144"/>
    <w:bookmarkStart w:id="146"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146"/>
    <w:bookmarkStart w:id="147" w:name="ref-Gluckman2008"/>
    <w:p>
      <w:pPr>
        <w:pStyle w:val="BodyText"/>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147"/>
    <w:bookmarkStart w:id="148"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148"/>
    <w:bookmarkStart w:id="150" w:name="ref-Goodman1999"/>
    <w:p>
      <w:pPr>
        <w:pStyle w:val="BodyText"/>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49">
        <w:r>
          <w:rPr>
            <w:rStyle w:val="Hyperlink"/>
          </w:rPr>
          <w:t xml:space="preserve">https://doi.org/10.1023/A:1022658222914</w:t>
        </w:r>
      </w:hyperlink>
    </w:p>
    <w:bookmarkEnd w:id="150"/>
    <w:bookmarkStart w:id="152" w:name="ref-Hare2014"/>
    <w:p>
      <w:pPr>
        <w:pStyle w:val="BodyText"/>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51">
        <w:r>
          <w:rPr>
            <w:rStyle w:val="Hyperlink"/>
          </w:rPr>
          <w:t xml:space="preserve">https://doi.org/10.1093/eurheartj/eht462</w:t>
        </w:r>
      </w:hyperlink>
    </w:p>
    <w:bookmarkEnd w:id="152"/>
    <w:bookmarkStart w:id="154" w:name="ref-Hartman2018"/>
    <w:p>
      <w:pPr>
        <w:pStyle w:val="BodyText"/>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53">
        <w:r>
          <w:rPr>
            <w:rStyle w:val="Hyperlink"/>
          </w:rPr>
          <w:t xml:space="preserve">https://doi.org/10.1017/s0954579418000548</w:t>
        </w:r>
      </w:hyperlink>
    </w:p>
    <w:bookmarkEnd w:id="154"/>
    <w:bookmarkStart w:id="156"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55">
        <w:r>
          <w:rPr>
            <w:rStyle w:val="Hyperlink"/>
          </w:rPr>
          <w:t xml:space="preserve">https://doi.org/10.1111/ijpo.12885</w:t>
        </w:r>
      </w:hyperlink>
    </w:p>
    <w:bookmarkEnd w:id="156"/>
    <w:bookmarkStart w:id="158" w:name="ref-Juster2016"/>
    <w:p>
      <w:pPr>
        <w:pStyle w:val="BodyText"/>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57">
        <w:r>
          <w:rPr>
            <w:rStyle w:val="Hyperlink"/>
          </w:rPr>
          <w:t xml:space="preserve">https://doi.org/10.1017/s0954579416000730</w:t>
        </w:r>
      </w:hyperlink>
    </w:p>
    <w:bookmarkEnd w:id="158"/>
    <w:bookmarkStart w:id="160"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59">
        <w:r>
          <w:rPr>
            <w:rStyle w:val="Hyperlink"/>
          </w:rPr>
          <w:t xml:space="preserve">https://doi.org/10.1007/s10654-016-0224-9</w:t>
        </w:r>
      </w:hyperlink>
    </w:p>
    <w:bookmarkEnd w:id="160"/>
    <w:bookmarkStart w:id="161"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0">
        <w:r>
          <w:rPr>
            <w:rStyle w:val="Hyperlink"/>
          </w:rPr>
          <w:t xml:space="preserve">https://doi.org/10.1017/s0033291715002743</w:t>
        </w:r>
      </w:hyperlink>
    </w:p>
    <w:bookmarkEnd w:id="161"/>
    <w:bookmarkStart w:id="163" w:name="ref-Murphy2017"/>
    <w:p>
      <w:pPr>
        <w:pStyle w:val="BodyText"/>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62">
        <w:r>
          <w:rPr>
            <w:rStyle w:val="Hyperlink"/>
          </w:rPr>
          <w:t xml:space="preserve">https://doi.org/10.1152/ajpregu.00185.2016</w:t>
        </w:r>
      </w:hyperlink>
    </w:p>
    <w:bookmarkEnd w:id="163"/>
    <w:bookmarkStart w:id="164"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164"/>
    <w:bookmarkStart w:id="166"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65">
        <w:r>
          <w:rPr>
            <w:rStyle w:val="Hyperlink"/>
          </w:rPr>
          <w:t xml:space="preserve">https://doi.org/10.1080/07315724.2016.1261053</w:t>
        </w:r>
      </w:hyperlink>
    </w:p>
    <w:bookmarkEnd w:id="166"/>
    <w:bookmarkStart w:id="168"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67">
        <w:r>
          <w:rPr>
            <w:rStyle w:val="Hyperlink"/>
          </w:rPr>
          <w:t xml:space="preserve">https://doi.org/10.1192/bjp.bp.114.156620</w:t>
        </w:r>
      </w:hyperlink>
    </w:p>
    <w:bookmarkEnd w:id="168"/>
    <w:bookmarkStart w:id="169" w:name="ref-Pratt2014"/>
    <w:p>
      <w:pPr>
        <w:pStyle w:val="BodyText"/>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169"/>
    <w:bookmarkStart w:id="171" w:name="ref-R2021"/>
    <w:p>
      <w:pPr>
        <w:pStyle w:val="BodyText"/>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70">
        <w:r>
          <w:rPr>
            <w:rStyle w:val="Hyperlink"/>
          </w:rPr>
          <w:t xml:space="preserve">https://www.R-project.org/</w:t>
        </w:r>
      </w:hyperlink>
    </w:p>
    <w:bookmarkEnd w:id="171"/>
    <w:bookmarkStart w:id="173"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72">
        <w:r>
          <w:rPr>
            <w:rStyle w:val="Hyperlink"/>
          </w:rPr>
          <w:t xml:space="preserve">https://doi.org/10.1080/15592294.2016.1145329</w:t>
        </w:r>
      </w:hyperlink>
    </w:p>
    <w:bookmarkEnd w:id="173"/>
    <w:bookmarkStart w:id="175"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74">
        <w:r>
          <w:rPr>
            <w:rStyle w:val="Hyperlink"/>
          </w:rPr>
          <w:t xml:space="preserve">https://doi.org/10.1111/cdev.13825</w:t>
        </w:r>
      </w:hyperlink>
    </w:p>
    <w:bookmarkEnd w:id="175"/>
    <w:bookmarkStart w:id="177"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76">
        <w:r>
          <w:rPr>
            <w:rStyle w:val="Hyperlink"/>
          </w:rPr>
          <w:t xml:space="preserve">https://doi.org/10.1542/peds.2011-2663</w:t>
        </w:r>
      </w:hyperlink>
    </w:p>
    <w:bookmarkEnd w:id="177"/>
    <w:bookmarkStart w:id="179" w:name="ref-Slopen2014"/>
    <w:p>
      <w:pPr>
        <w:pStyle w:val="BodyText"/>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178">
        <w:r>
          <w:rPr>
            <w:rStyle w:val="Hyperlink"/>
          </w:rPr>
          <w:t xml:space="preserve">https://doi.org/10.1016/j.jpeds.2013.11.003</w:t>
        </w:r>
      </w:hyperlink>
    </w:p>
    <w:bookmarkEnd w:id="179"/>
    <w:bookmarkStart w:id="181" w:name="ref-Sutaria2019"/>
    <w:p>
      <w:pPr>
        <w:pStyle w:val="BodyText"/>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180">
        <w:r>
          <w:rPr>
            <w:rStyle w:val="Hyperlink"/>
          </w:rPr>
          <w:t xml:space="preserve">https://doi.org/10.1136/archdischild-2017-314608</w:t>
        </w:r>
      </w:hyperlink>
    </w:p>
    <w:bookmarkEnd w:id="181"/>
    <w:bookmarkStart w:id="183" w:name="ref-vanBuuren2018"/>
    <w:p>
      <w:pPr>
        <w:pStyle w:val="BodyText"/>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182">
        <w:r>
          <w:rPr>
            <w:rStyle w:val="Hyperlink"/>
          </w:rPr>
          <w:t xml:space="preserve">https://doi.org/10.1201/9780429492259</w:t>
        </w:r>
      </w:hyperlink>
    </w:p>
    <w:bookmarkEnd w:id="183"/>
    <w:bookmarkStart w:id="185"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184">
        <w:r>
          <w:rPr>
            <w:rStyle w:val="Hyperlink"/>
          </w:rPr>
          <w:t xml:space="preserve">https://doi.org/10.1016/j.neubiorev.2017.07.003</w:t>
        </w:r>
      </w:hyperlink>
    </w:p>
    <w:bookmarkEnd w:id="185"/>
    <w:bookmarkStart w:id="187"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186">
        <w:r>
          <w:rPr>
            <w:rStyle w:val="Hyperlink"/>
          </w:rPr>
          <w:t xml:space="preserve">https://doi.org/10.1007/s10654-016-0179-x</w:t>
        </w:r>
      </w:hyperlink>
    </w:p>
    <w:bookmarkEnd w:id="187"/>
    <w:bookmarkStart w:id="189" w:name="ref-Wang2015"/>
    <w:p>
      <w:pPr>
        <w:pStyle w:val="BodyText"/>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188">
        <w:r>
          <w:rPr>
            <w:rStyle w:val="Hyperlink"/>
          </w:rPr>
          <w:t xml:space="preserve">https://doi.org/10.1007/s10654-015-0100-z</w:t>
        </w:r>
      </w:hyperlink>
    </w:p>
    <w:bookmarkEnd w:id="189"/>
    <w:bookmarkStart w:id="191"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190">
        <w:r>
          <w:rPr>
            <w:rStyle w:val="Hyperlink"/>
          </w:rPr>
          <w:t xml:space="preserve">https://doi.org/10.1016/j.cpr.2016.10.003</w:t>
        </w:r>
      </w:hyperlink>
    </w:p>
    <w:bookmarkEnd w:id="191"/>
    <w:bookmarkEnd w:id="192"/>
    <w:bookmarkEnd w:id="193"/>
    <w:bookmarkEnd w:id="194"/>
    <w:bookmarkStart w:id="205" w:name="sec-chapter3"/>
    <w:p>
      <w:pPr>
        <w:pStyle w:val="Heading1"/>
      </w:pPr>
      <w:r>
        <w:t xml:space="preserve">3. Lifestyle factors, ELS and adolescent psycho-physical health</w:t>
      </w:r>
    </w:p>
    <w:p>
      <w:pPr>
        <w:pStyle w:val="FirstParagraph"/>
      </w:pPr>
      <w:r>
        <w:t xml:space="preserve">Adapted from:</w:t>
      </w:r>
    </w:p>
    <w:p>
      <w:pPr>
        <w:pStyle w:val="BodyText"/>
      </w:pPr>
      <w:r>
        <w:t xml:space="preserve">The role of lifestyle factors in the association between early-life stress and adolescent psycho-physical health: Moderation analysis in two European birth cohorts</w:t>
      </w:r>
    </w:p>
    <w:p>
      <w:pPr>
        <w:pStyle w:val="BodyText"/>
      </w:pPr>
      <w:r>
        <w:rPr>
          <w:bCs/>
          <w:b/>
        </w:rPr>
        <w:t xml:space="preserve">Defina, S.</w:t>
      </w:r>
      <w:r>
        <w:t xml:space="preserve">, Woofenden, T., Baltramonaityte, V., Tiemeier, H., Fairchild, G., Felix, J. F., Cecil, C.A.M., &amp; Walton, E. (2024).</w:t>
      </w:r>
      <w:r>
        <w:t xml:space="preserve"> </w:t>
      </w:r>
      <w:r>
        <w:rPr>
          <w:iCs/>
          <w:i/>
        </w:rPr>
        <w:t xml:space="preserve">Preventive Medicine</w:t>
      </w:r>
      <w:r>
        <w:t xml:space="preserve">.</w:t>
      </w:r>
      <w:r>
        <w:t xml:space="preserve"> </w:t>
      </w:r>
      <w:hyperlink r:id="rId195">
        <w:r>
          <w:rPr>
            <w:rStyle w:val="Hyperlink"/>
          </w:rPr>
          <w:t xml:space="preserve">DOI</w:t>
        </w:r>
      </w:hyperlink>
    </w:p>
    <w:bookmarkStart w:id="196" w:name="abstact"/>
    <w:p>
      <w:pPr>
        <w:pStyle w:val="Heading2"/>
      </w:pPr>
      <w:r>
        <w:t xml:space="preserve">Abstact</w:t>
      </w:r>
    </w:p>
    <w:bookmarkEnd w:id="196"/>
    <w:bookmarkStart w:id="197" w:name="introduction-1"/>
    <w:p>
      <w:pPr>
        <w:pStyle w:val="Heading2"/>
      </w:pPr>
      <w:r>
        <w:t xml:space="preserve">3.1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197"/>
    <w:bookmarkStart w:id="198" w:name="methods-1"/>
    <w:p>
      <w:pPr>
        <w:pStyle w:val="Heading2"/>
      </w:pPr>
      <w:r>
        <w:t xml:space="preserve">3.2 Methods</w:t>
      </w:r>
    </w:p>
    <w:bookmarkEnd w:id="198"/>
    <w:bookmarkStart w:id="199" w:name="discussion-1"/>
    <w:p>
      <w:pPr>
        <w:pStyle w:val="Heading2"/>
      </w:pPr>
      <w:r>
        <w:t xml:space="preserve">3.3 Discussion</w:t>
      </w:r>
    </w:p>
    <w:bookmarkEnd w:id="199"/>
    <w:bookmarkStart w:id="200" w:name="references-2"/>
    <w:p>
      <w:pPr>
        <w:pStyle w:val="Heading2"/>
      </w:pPr>
      <w:r>
        <w:t xml:space="preserve">References</w:t>
      </w:r>
    </w:p>
    <w:bookmarkEnd w:id="200"/>
    <w:bookmarkStart w:id="204" w:name="bibliography--3"/>
    <w:p>
      <w:pPr>
        <w:pStyle w:val="Heading2"/>
      </w:pPr>
      <w:r>
        <w:t xml:space="preserve">References</w:t>
      </w:r>
    </w:p>
    <w:bookmarkStart w:id="203" w:name="refs--3"/>
    <w:bookmarkStart w:id="20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01"/>
    <w:bookmarkStart w:id="20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02"/>
    <w:bookmarkEnd w:id="203"/>
    <w:bookmarkEnd w:id="204"/>
    <w:bookmarkEnd w:id="205"/>
    <w:bookmarkStart w:id="215" w:name="sec-chapter4"/>
    <w:p>
      <w:pPr>
        <w:pStyle w:val="Heading1"/>
      </w:pPr>
      <w:r>
        <w:t xml:space="preserve">4. ELS and intracortical myelination</w:t>
      </w:r>
    </w:p>
    <w:p>
      <w:pPr>
        <w:pStyle w:val="FirstParagraph"/>
      </w:pPr>
      <w:r>
        <w:t xml:space="preserve">Adapted from:</w:t>
      </w:r>
    </w:p>
    <w:p>
      <w:pPr>
        <w:pStyle w:val="BodyText"/>
      </w:pPr>
      <w:r>
        <w:t xml:space="preserve">Early-life stress exposure and intracortical myelination in childhood: a population-based neuroimaging study</w:t>
      </w:r>
    </w:p>
    <w:p>
      <w:pPr>
        <w:pStyle w:val="BodyText"/>
      </w:pPr>
      <w:r>
        <w:rPr>
          <w:bCs/>
          <w:b/>
        </w:rPr>
        <w:t xml:space="preserve">Defina, S.</w:t>
      </w:r>
      <w:r>
        <w:t xml:space="preserve">, Manzoni, D., Tiemeier, H., Brouwer, R.M., Cecil, C.A.M., &amp; Muetzel R.L. (</w:t>
      </w:r>
      <w:r>
        <w:rPr>
          <w:iCs/>
          <w:i/>
        </w:rPr>
        <w:t xml:space="preserve">in preparation</w:t>
      </w:r>
      <w:r>
        <w:t xml:space="preserve">)</w:t>
      </w:r>
    </w:p>
    <w:bookmarkStart w:id="206" w:name="abstact-1"/>
    <w:p>
      <w:pPr>
        <w:pStyle w:val="Heading2"/>
      </w:pPr>
      <w:r>
        <w:t xml:space="preserve">Abstact</w:t>
      </w:r>
    </w:p>
    <w:bookmarkEnd w:id="206"/>
    <w:bookmarkStart w:id="207" w:name="introduction-2"/>
    <w:p>
      <w:pPr>
        <w:pStyle w:val="Heading2"/>
      </w:pPr>
      <w:r>
        <w:t xml:space="preserve">4.1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07"/>
    <w:bookmarkStart w:id="208" w:name="methods-2"/>
    <w:p>
      <w:pPr>
        <w:pStyle w:val="Heading2"/>
      </w:pPr>
      <w:r>
        <w:t xml:space="preserve">4.2 Methods</w:t>
      </w:r>
    </w:p>
    <w:bookmarkEnd w:id="208"/>
    <w:bookmarkStart w:id="209" w:name="discussion-2"/>
    <w:p>
      <w:pPr>
        <w:pStyle w:val="Heading2"/>
      </w:pPr>
      <w:r>
        <w:t xml:space="preserve">4.3 Discussion</w:t>
      </w:r>
    </w:p>
    <w:bookmarkEnd w:id="209"/>
    <w:bookmarkStart w:id="210" w:name="references-3"/>
    <w:p>
      <w:pPr>
        <w:pStyle w:val="Heading2"/>
      </w:pPr>
      <w:r>
        <w:t xml:space="preserve">References</w:t>
      </w:r>
    </w:p>
    <w:bookmarkEnd w:id="210"/>
    <w:bookmarkStart w:id="214" w:name="bibliography--4"/>
    <w:p>
      <w:pPr>
        <w:pStyle w:val="Heading2"/>
      </w:pPr>
      <w:r>
        <w:t xml:space="preserve">References</w:t>
      </w:r>
    </w:p>
    <w:bookmarkStart w:id="213" w:name="refs--4"/>
    <w:bookmarkStart w:id="21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11"/>
    <w:bookmarkStart w:id="21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12"/>
    <w:bookmarkEnd w:id="213"/>
    <w:bookmarkEnd w:id="214"/>
    <w:bookmarkEnd w:id="215"/>
    <w:bookmarkStart w:id="225" w:name="sec-chapter5"/>
    <w:p>
      <w:pPr>
        <w:pStyle w:val="Heading1"/>
      </w:pPr>
      <w:r>
        <w:t xml:space="preserve">5. ELS and cardiac morphology</w:t>
      </w:r>
    </w:p>
    <w:p>
      <w:pPr>
        <w:pStyle w:val="FirstParagraph"/>
      </w:pPr>
      <w:r>
        <w:t xml:space="preserve">Adapted from:</w:t>
      </w:r>
    </w:p>
    <w:p>
      <w:pPr>
        <w:pStyle w:val="BodyText"/>
      </w:pPr>
      <w:r>
        <w:t xml:space="preserve">Early-life stress exposure and heart morphology in childhood: a prospective population-based study</w:t>
      </w:r>
    </w:p>
    <w:p>
      <w:pPr>
        <w:pStyle w:val="BodyText"/>
      </w:pPr>
      <w:r>
        <w:rPr>
          <w:bCs/>
          <w:b/>
        </w:rPr>
        <w:t xml:space="preserve">Defina, S.</w:t>
      </w:r>
      <w:r>
        <w:t xml:space="preserve">, Kamphuis, A., Gaillard, R., &amp; Felix, J. F. (</w:t>
      </w:r>
      <w:r>
        <w:rPr>
          <w:iCs/>
          <w:i/>
        </w:rPr>
        <w:t xml:space="preserve">in preparation</w:t>
      </w:r>
      <w:r>
        <w:t xml:space="preserve">)</w:t>
      </w:r>
    </w:p>
    <w:bookmarkStart w:id="216" w:name="abstact-2"/>
    <w:p>
      <w:pPr>
        <w:pStyle w:val="Heading2"/>
      </w:pPr>
      <w:r>
        <w:t xml:space="preserve">Abstact</w:t>
      </w:r>
    </w:p>
    <w:bookmarkEnd w:id="216"/>
    <w:bookmarkStart w:id="217"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17"/>
    <w:bookmarkStart w:id="218" w:name="methods-3"/>
    <w:p>
      <w:pPr>
        <w:pStyle w:val="Heading2"/>
      </w:pPr>
      <w:r>
        <w:t xml:space="preserve">5.2 Methods</w:t>
      </w:r>
    </w:p>
    <w:bookmarkEnd w:id="218"/>
    <w:bookmarkStart w:id="219" w:name="discussion-3"/>
    <w:p>
      <w:pPr>
        <w:pStyle w:val="Heading2"/>
      </w:pPr>
      <w:r>
        <w:t xml:space="preserve">5.3 Discussion</w:t>
      </w:r>
    </w:p>
    <w:bookmarkEnd w:id="219"/>
    <w:bookmarkStart w:id="220" w:name="references-4"/>
    <w:p>
      <w:pPr>
        <w:pStyle w:val="Heading2"/>
      </w:pPr>
      <w:r>
        <w:t xml:space="preserve">References</w:t>
      </w:r>
    </w:p>
    <w:bookmarkEnd w:id="220"/>
    <w:bookmarkStart w:id="224" w:name="bibliography--5"/>
    <w:p>
      <w:pPr>
        <w:pStyle w:val="Heading2"/>
      </w:pPr>
      <w:r>
        <w:t xml:space="preserve">References</w:t>
      </w:r>
    </w:p>
    <w:bookmarkStart w:id="223" w:name="refs--5"/>
    <w:bookmarkStart w:id="22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21"/>
    <w:bookmarkStart w:id="22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22"/>
    <w:bookmarkEnd w:id="223"/>
    <w:bookmarkEnd w:id="224"/>
    <w:bookmarkEnd w:id="225"/>
    <w:bookmarkStart w:id="235" w:name="sec-chapter6"/>
    <w:p>
      <w:pPr>
        <w:pStyle w:val="Heading1"/>
      </w:pPr>
      <w:r>
        <w:t xml:space="preserve">6. Longitudinal psycho-physical co-development</w:t>
      </w:r>
    </w:p>
    <w:p>
      <w:pPr>
        <w:pStyle w:val="FirstParagraph"/>
      </w:pPr>
      <w:r>
        <w:t xml:space="preserve">Adapted from:</w:t>
      </w:r>
    </w:p>
    <w:p>
      <w:pPr>
        <w:pStyle w:val="BodyText"/>
      </w:pPr>
      <w:r>
        <w:t xml:space="preserve">Longitudinal co-development of depressive symptoms and cardio-metabolic risk factors from childhood to young adulthood</w:t>
      </w:r>
    </w:p>
    <w:p>
      <w:pPr>
        <w:pStyle w:val="BodyText"/>
      </w:pPr>
      <w:r>
        <w:t xml:space="preserve">Defina, S., Cecil, C.A.M., Felix, J.F., Walton, E., &amp; Tiemeier, H. (</w:t>
      </w:r>
      <w:r>
        <w:rPr>
          <w:iCs/>
          <w:i/>
        </w:rPr>
        <w:t xml:space="preserve">under revision</w:t>
      </w:r>
      <w:r>
        <w:t xml:space="preserve">)</w:t>
      </w:r>
    </w:p>
    <w:bookmarkStart w:id="226" w:name="abstact-3"/>
    <w:p>
      <w:pPr>
        <w:pStyle w:val="Heading2"/>
      </w:pPr>
      <w:r>
        <w:t xml:space="preserve">Abstact</w:t>
      </w:r>
    </w:p>
    <w:bookmarkEnd w:id="226"/>
    <w:bookmarkStart w:id="227"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27"/>
    <w:bookmarkStart w:id="228" w:name="methods-4"/>
    <w:p>
      <w:pPr>
        <w:pStyle w:val="Heading2"/>
      </w:pPr>
      <w:r>
        <w:t xml:space="preserve">6.2 Methods</w:t>
      </w:r>
    </w:p>
    <w:bookmarkEnd w:id="228"/>
    <w:bookmarkStart w:id="229" w:name="discussion-4"/>
    <w:p>
      <w:pPr>
        <w:pStyle w:val="Heading2"/>
      </w:pPr>
      <w:r>
        <w:t xml:space="preserve">6.3 Discussion</w:t>
      </w:r>
    </w:p>
    <w:bookmarkEnd w:id="229"/>
    <w:bookmarkStart w:id="230" w:name="references-5"/>
    <w:p>
      <w:pPr>
        <w:pStyle w:val="Heading2"/>
      </w:pPr>
      <w:r>
        <w:t xml:space="preserve">References</w:t>
      </w:r>
    </w:p>
    <w:bookmarkEnd w:id="230"/>
    <w:bookmarkStart w:id="234" w:name="bibliography--6"/>
    <w:p>
      <w:pPr>
        <w:pStyle w:val="Heading2"/>
      </w:pPr>
      <w:r>
        <w:t xml:space="preserve">References</w:t>
      </w:r>
    </w:p>
    <w:bookmarkStart w:id="233" w:name="refs--6"/>
    <w:bookmarkStart w:id="23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31"/>
    <w:bookmarkStart w:id="23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32"/>
    <w:bookmarkEnd w:id="233"/>
    <w:bookmarkEnd w:id="234"/>
    <w:bookmarkEnd w:id="235"/>
    <w:bookmarkStart w:id="237" w:name="discussion-5"/>
    <w:p>
      <w:pPr>
        <w:pStyle w:val="Heading1"/>
      </w:pPr>
      <w:r>
        <w:t xml:space="preserve">DISCUSSION</w:t>
      </w:r>
    </w:p>
    <w:p>
      <w:pPr>
        <w:pStyle w:val="FirstParagraph"/>
      </w:pPr>
      <w:r>
        <w:t xml:space="preserve">See</w:t>
      </w:r>
      <w:r>
        <w:t xml:space="preserve"> </w:t>
      </w:r>
      <w:hyperlink w:anchor="sec-chapter1">
        <w:r>
          <w:rPr>
            <w:rStyle w:val="Hyperlink"/>
          </w:rPr>
          <w:t xml:space="preserve">Chapter 1</w:t>
        </w:r>
      </w:hyperlink>
      <w:r>
        <w:t xml:space="preserve"> </w:t>
      </w:r>
      <w:r>
        <w:t xml:space="preserve">for whatever whatever.</w:t>
      </w:r>
    </w:p>
    <w:bookmarkStart w:id="236" w:name="references-6"/>
    <w:p>
      <w:pPr>
        <w:pStyle w:val="Heading2"/>
      </w:pPr>
      <w:r>
        <w:t xml:space="preserve">References</w:t>
      </w:r>
    </w:p>
    <w:bookmarkEnd w:id="236"/>
    <w:bookmarkEnd w:id="237"/>
    <w:bookmarkStart w:id="296" w:name="bibliography"/>
    <w:p>
      <w:pPr>
        <w:pStyle w:val="Heading1"/>
      </w:pPr>
      <w:r>
        <w:t xml:space="preserve">References</w:t>
      </w:r>
    </w:p>
    <w:bookmarkStart w:id="295" w:name="refs"/>
    <w:bookmarkStart w:id="238" w:name="ref-Achenbach1999"/>
    <w:p>
      <w:pPr>
        <w:pStyle w:val="Bibliography"/>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238"/>
    <w:bookmarkStart w:id="239" w:name="ref-Alders2001"/>
    <w:p>
      <w:pPr>
        <w:pStyle w:val="Bibliography"/>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239"/>
    <w:bookmarkStart w:id="240" w:name="ref-Anwar2018"/>
    <w:p>
      <w:pPr>
        <w:pStyle w:val="Bibliography"/>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240"/>
    <w:bookmarkStart w:id="241" w:name="ref-Barker1998"/>
    <w:p>
      <w:pPr>
        <w:pStyle w:val="Bibliography"/>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241"/>
    <w:bookmarkStart w:id="242"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24">
        <w:r>
          <w:rPr>
            <w:rStyle w:val="Hyperlink"/>
          </w:rPr>
          <w:t xml:space="preserve">https://doi.org/10.1016/S0140-6736(12)60240-2</w:t>
        </w:r>
      </w:hyperlink>
    </w:p>
    <w:bookmarkEnd w:id="242"/>
    <w:bookmarkStart w:id="243"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43"/>
    <w:bookmarkStart w:id="244"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44"/>
    <w:bookmarkStart w:id="245"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28">
        <w:r>
          <w:rPr>
            <w:rStyle w:val="Hyperlink"/>
          </w:rPr>
          <w:t xml:space="preserve">https://doi.org/10.1038/s41366-019-0423-z</w:t>
        </w:r>
      </w:hyperlink>
    </w:p>
    <w:bookmarkEnd w:id="245"/>
    <w:bookmarkStart w:id="246"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30">
        <w:r>
          <w:rPr>
            <w:rStyle w:val="Hyperlink"/>
          </w:rPr>
          <w:t xml:space="preserve">https://doi.org/10.1038/mp.2014.95</w:t>
        </w:r>
      </w:hyperlink>
    </w:p>
    <w:bookmarkEnd w:id="246"/>
    <w:bookmarkStart w:id="247" w:name="ref-Cecil2017"/>
    <w:p>
      <w:pPr>
        <w:pStyle w:val="Bibliography"/>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32">
        <w:r>
          <w:rPr>
            <w:rStyle w:val="Hyperlink"/>
          </w:rPr>
          <w:t xml:space="preserve">https://doi.org/10.1016/j.chiabu.2016.11.024</w:t>
        </w:r>
      </w:hyperlink>
    </w:p>
    <w:bookmarkEnd w:id="247"/>
    <w:bookmarkStart w:id="248"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34">
        <w:r>
          <w:rPr>
            <w:rStyle w:val="Hyperlink"/>
          </w:rPr>
          <w:t xml:space="preserve">https://doi.org/10.1017/S0033291721004311</w:t>
        </w:r>
      </w:hyperlink>
    </w:p>
    <w:bookmarkEnd w:id="248"/>
    <w:bookmarkStart w:id="249" w:name="ref-Danese2014"/>
    <w:p>
      <w:pPr>
        <w:pStyle w:val="Bibliography"/>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249"/>
    <w:bookmarkStart w:id="250"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37">
        <w:r>
          <w:rPr>
            <w:rStyle w:val="Hyperlink"/>
          </w:rPr>
          <w:t xml:space="preserve">https://doi.org/10.1016/j.jclinepi.2007.11.008</w:t>
        </w:r>
      </w:hyperlink>
    </w:p>
    <w:bookmarkEnd w:id="250"/>
    <w:bookmarkStart w:id="251"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39">
        <w:r>
          <w:rPr>
            <w:rStyle w:val="Hyperlink"/>
          </w:rPr>
          <w:t xml:space="preserve">https://doi.org/10.1002/oby.21797</w:t>
        </w:r>
      </w:hyperlink>
    </w:p>
    <w:bookmarkEnd w:id="251"/>
    <w:bookmarkStart w:id="252" w:name="ref-Engel1977"/>
    <w:p>
      <w:pPr>
        <w:pStyle w:val="Bibliography"/>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38">
        <w:r>
          <w:rPr>
            <w:rStyle w:val="Hyperlink"/>
          </w:rPr>
          <w:t xml:space="preserve">https://doi.org/10.1126/science.847460</w:t>
        </w:r>
      </w:hyperlink>
    </w:p>
    <w:bookmarkEnd w:id="252"/>
    <w:bookmarkStart w:id="253" w:name="ref-Entringer2013"/>
    <w:p>
      <w:pPr>
        <w:pStyle w:val="Bibliography"/>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41">
        <w:r>
          <w:rPr>
            <w:rStyle w:val="Hyperlink"/>
          </w:rPr>
          <w:t xml:space="preserve">https://doi.org/10.1097/MCO.0b013e32835e8d80</w:t>
        </w:r>
      </w:hyperlink>
    </w:p>
    <w:bookmarkEnd w:id="253"/>
    <w:bookmarkStart w:id="254"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43">
        <w:r>
          <w:rPr>
            <w:rStyle w:val="Hyperlink"/>
          </w:rPr>
          <w:t xml:space="preserve">https://doi.org/10.1155/2012/632548</w:t>
        </w:r>
      </w:hyperlink>
    </w:p>
    <w:bookmarkEnd w:id="254"/>
    <w:bookmarkStart w:id="255"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0">
        <w:r>
          <w:rPr>
            <w:rStyle w:val="Hyperlink"/>
          </w:rPr>
          <w:t xml:space="preserve">https://doi.org/10.1016/S0749-3797(98)00017-8</w:t>
        </w:r>
      </w:hyperlink>
    </w:p>
    <w:bookmarkEnd w:id="255"/>
    <w:bookmarkStart w:id="256"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56"/>
    <w:bookmarkStart w:id="257" w:name="ref-Gluckman2008"/>
    <w:p>
      <w:pPr>
        <w:pStyle w:val="Bibliography"/>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257"/>
    <w:bookmarkStart w:id="258"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258"/>
    <w:bookmarkStart w:id="259" w:name="ref-Goodman1999"/>
    <w:p>
      <w:pPr>
        <w:pStyle w:val="Bibliography"/>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49">
        <w:r>
          <w:rPr>
            <w:rStyle w:val="Hyperlink"/>
          </w:rPr>
          <w:t xml:space="preserve">https://doi.org/10.1023/A:1022658222914</w:t>
        </w:r>
      </w:hyperlink>
    </w:p>
    <w:bookmarkEnd w:id="259"/>
    <w:bookmarkStart w:id="260" w:name="ref-Hare2014"/>
    <w:p>
      <w:pPr>
        <w:pStyle w:val="Bibliography"/>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51">
        <w:r>
          <w:rPr>
            <w:rStyle w:val="Hyperlink"/>
          </w:rPr>
          <w:t xml:space="preserve">https://doi.org/10.1093/eurheartj/eht462</w:t>
        </w:r>
      </w:hyperlink>
    </w:p>
    <w:bookmarkEnd w:id="260"/>
    <w:bookmarkStart w:id="261" w:name="ref-Hartman2018"/>
    <w:p>
      <w:pPr>
        <w:pStyle w:val="Bibliography"/>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53">
        <w:r>
          <w:rPr>
            <w:rStyle w:val="Hyperlink"/>
          </w:rPr>
          <w:t xml:space="preserve">https://doi.org/10.1017/s0954579418000548</w:t>
        </w:r>
      </w:hyperlink>
    </w:p>
    <w:bookmarkEnd w:id="261"/>
    <w:bookmarkStart w:id="262" w:name="ref-Heim2020"/>
    <w:p>
      <w:pPr>
        <w:pStyle w:val="Bibliography"/>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42">
        <w:r>
          <w:rPr>
            <w:rStyle w:val="Hyperlink"/>
          </w:rPr>
          <w:t xml:space="preserve">https://doi.org/0.1007/978-3-030-39903-0_63</w:t>
        </w:r>
      </w:hyperlink>
    </w:p>
    <w:bookmarkEnd w:id="262"/>
    <w:bookmarkStart w:id="263"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55">
        <w:r>
          <w:rPr>
            <w:rStyle w:val="Hyperlink"/>
          </w:rPr>
          <w:t xml:space="preserve">https://doi.org/10.1111/ijpo.12885</w:t>
        </w:r>
      </w:hyperlink>
    </w:p>
    <w:bookmarkEnd w:id="263"/>
    <w:bookmarkStart w:id="264"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44">
        <w:r>
          <w:rPr>
            <w:rStyle w:val="Hyperlink"/>
          </w:rPr>
          <w:t xml:space="preserve">https://doi.org/10.1007/s40653-021-00404-7</w:t>
        </w:r>
      </w:hyperlink>
    </w:p>
    <w:bookmarkEnd w:id="264"/>
    <w:bookmarkStart w:id="265" w:name="ref-Jakubowski2018"/>
    <w:p>
      <w:pPr>
        <w:pStyle w:val="Bibliography"/>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46">
        <w:r>
          <w:rPr>
            <w:rStyle w:val="Hyperlink"/>
          </w:rPr>
          <w:t xml:space="preserve">https://doi.org/10.1037/hea0000637</w:t>
        </w:r>
      </w:hyperlink>
    </w:p>
    <w:bookmarkEnd w:id="265"/>
    <w:bookmarkStart w:id="266"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57">
        <w:r>
          <w:rPr>
            <w:rStyle w:val="Hyperlink"/>
          </w:rPr>
          <w:t xml:space="preserve">https://doi.org/10.1017/s0954579416000730</w:t>
        </w:r>
      </w:hyperlink>
    </w:p>
    <w:bookmarkEnd w:id="266"/>
    <w:bookmarkStart w:id="267"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59">
        <w:r>
          <w:rPr>
            <w:rStyle w:val="Hyperlink"/>
          </w:rPr>
          <w:t xml:space="preserve">https://doi.org/10.1007/s10654-016-0224-9</w:t>
        </w:r>
      </w:hyperlink>
    </w:p>
    <w:bookmarkEnd w:id="267"/>
    <w:bookmarkStart w:id="268"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48">
        <w:r>
          <w:rPr>
            <w:rStyle w:val="Hyperlink"/>
          </w:rPr>
          <w:t xml:space="preserve">https://doi.org/10.1016/j.jaac.2019.10.011</w:t>
        </w:r>
      </w:hyperlink>
    </w:p>
    <w:bookmarkEnd w:id="268"/>
    <w:bookmarkStart w:id="269"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0">
        <w:r>
          <w:rPr>
            <w:rStyle w:val="Hyperlink"/>
          </w:rPr>
          <w:t xml:space="preserve">https://doi.org/10.1017/s0033291715002743</w:t>
        </w:r>
      </w:hyperlink>
    </w:p>
    <w:bookmarkEnd w:id="269"/>
    <w:bookmarkStart w:id="270"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52">
        <w:r>
          <w:rPr>
            <w:rStyle w:val="Hyperlink"/>
          </w:rPr>
          <w:t xml:space="preserve">https://doi.org/10.1177/15248380221102558</w:t>
        </w:r>
      </w:hyperlink>
    </w:p>
    <w:bookmarkEnd w:id="270"/>
    <w:bookmarkStart w:id="271"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54">
        <w:r>
          <w:rPr>
            <w:rStyle w:val="Hyperlink"/>
          </w:rPr>
          <w:t xml:space="preserve">https://doi.org/10.1001/archgenpsychiatry.2010.2</w:t>
        </w:r>
      </w:hyperlink>
    </w:p>
    <w:bookmarkEnd w:id="271"/>
    <w:bookmarkStart w:id="272"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56">
        <w:r>
          <w:rPr>
            <w:rStyle w:val="Hyperlink"/>
          </w:rPr>
          <w:t xml:space="preserve">https://doi.org/10.1001/jamapediatrics.2024.4385</w:t>
        </w:r>
      </w:hyperlink>
    </w:p>
    <w:bookmarkEnd w:id="272"/>
    <w:bookmarkStart w:id="273"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58">
        <w:r>
          <w:rPr>
            <w:rStyle w:val="Hyperlink"/>
          </w:rPr>
          <w:t xml:space="preserve">https://doi.org/10.1016/j.ajp.2015.12.008</w:t>
        </w:r>
      </w:hyperlink>
    </w:p>
    <w:bookmarkEnd w:id="273"/>
    <w:bookmarkStart w:id="274" w:name="ref-Murphy2017"/>
    <w:p>
      <w:pPr>
        <w:pStyle w:val="Bibliography"/>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62">
        <w:r>
          <w:rPr>
            <w:rStyle w:val="Hyperlink"/>
          </w:rPr>
          <w:t xml:space="preserve">https://doi.org/10.1152/ajpregu.00185.2016</w:t>
        </w:r>
      </w:hyperlink>
    </w:p>
    <w:bookmarkEnd w:id="274"/>
    <w:bookmarkStart w:id="275"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275"/>
    <w:bookmarkStart w:id="276"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60">
        <w:r>
          <w:rPr>
            <w:rStyle w:val="Hyperlink"/>
          </w:rPr>
          <w:t xml:space="preserve">https://doi.org/10.1001/archpsyc.58.3.221</w:t>
        </w:r>
      </w:hyperlink>
    </w:p>
    <w:bookmarkEnd w:id="276"/>
    <w:bookmarkStart w:id="277"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65">
        <w:r>
          <w:rPr>
            <w:rStyle w:val="Hyperlink"/>
          </w:rPr>
          <w:t xml:space="preserve">https://doi.org/10.1080/07315724.2016.1261053</w:t>
        </w:r>
      </w:hyperlink>
    </w:p>
    <w:bookmarkEnd w:id="277"/>
    <w:bookmarkStart w:id="278"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67">
        <w:r>
          <w:rPr>
            <w:rStyle w:val="Hyperlink"/>
          </w:rPr>
          <w:t xml:space="preserve">https://doi.org/10.1192/bjp.bp.114.156620</w:t>
        </w:r>
      </w:hyperlink>
    </w:p>
    <w:bookmarkEnd w:id="278"/>
    <w:bookmarkStart w:id="279" w:name="ref-Pratt2014"/>
    <w:p>
      <w:pPr>
        <w:pStyle w:val="Bibliography"/>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279"/>
    <w:bookmarkStart w:id="280" w:name="ref-R2021"/>
    <w:p>
      <w:pPr>
        <w:pStyle w:val="Bibliography"/>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70">
        <w:r>
          <w:rPr>
            <w:rStyle w:val="Hyperlink"/>
          </w:rPr>
          <w:t xml:space="preserve">https://www.R-project.org/</w:t>
        </w:r>
      </w:hyperlink>
    </w:p>
    <w:bookmarkEnd w:id="280"/>
    <w:bookmarkStart w:id="281"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72">
        <w:r>
          <w:rPr>
            <w:rStyle w:val="Hyperlink"/>
          </w:rPr>
          <w:t xml:space="preserve">https://doi.org/10.1080/15592294.2016.1145329</w:t>
        </w:r>
      </w:hyperlink>
    </w:p>
    <w:bookmarkEnd w:id="281"/>
    <w:bookmarkStart w:id="282"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74">
        <w:r>
          <w:rPr>
            <w:rStyle w:val="Hyperlink"/>
          </w:rPr>
          <w:t xml:space="preserve">https://doi.org/10.1111/cdev.13825</w:t>
        </w:r>
      </w:hyperlink>
    </w:p>
    <w:bookmarkEnd w:id="282"/>
    <w:bookmarkStart w:id="283"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76">
        <w:r>
          <w:rPr>
            <w:rStyle w:val="Hyperlink"/>
          </w:rPr>
          <w:t xml:space="preserve">https://doi.org/10.1542/peds.2011-2663</w:t>
        </w:r>
      </w:hyperlink>
    </w:p>
    <w:bookmarkEnd w:id="283"/>
    <w:bookmarkStart w:id="284" w:name="ref-Slopen2014"/>
    <w:p>
      <w:pPr>
        <w:pStyle w:val="Bibliography"/>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178">
        <w:r>
          <w:rPr>
            <w:rStyle w:val="Hyperlink"/>
          </w:rPr>
          <w:t xml:space="preserve">https://doi.org/10.1016/j.jpeds.2013.11.003</w:t>
        </w:r>
      </w:hyperlink>
    </w:p>
    <w:bookmarkEnd w:id="284"/>
    <w:bookmarkStart w:id="285"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180">
        <w:r>
          <w:rPr>
            <w:rStyle w:val="Hyperlink"/>
          </w:rPr>
          <w:t xml:space="preserve">https://doi.org/10.1136/archdischild-2017-314608</w:t>
        </w:r>
      </w:hyperlink>
    </w:p>
    <w:bookmarkEnd w:id="285"/>
    <w:bookmarkStart w:id="286" w:name="ref-vanBuuren2018"/>
    <w:p>
      <w:pPr>
        <w:pStyle w:val="Bibliography"/>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182">
        <w:r>
          <w:rPr>
            <w:rStyle w:val="Hyperlink"/>
          </w:rPr>
          <w:t xml:space="preserve">https://doi.org/10.1201/9780429492259</w:t>
        </w:r>
      </w:hyperlink>
    </w:p>
    <w:bookmarkEnd w:id="286"/>
    <w:bookmarkStart w:id="287"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184">
        <w:r>
          <w:rPr>
            <w:rStyle w:val="Hyperlink"/>
          </w:rPr>
          <w:t xml:space="preserve">https://doi.org/10.1016/j.neubiorev.2017.07.003</w:t>
        </w:r>
      </w:hyperlink>
    </w:p>
    <w:bookmarkEnd w:id="287"/>
    <w:bookmarkStart w:id="288"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62">
        <w:r>
          <w:rPr>
            <w:rStyle w:val="Hyperlink"/>
          </w:rPr>
          <w:t xml:space="preserve">https://doi.org/10.1002/gps.1723</w:t>
        </w:r>
      </w:hyperlink>
    </w:p>
    <w:bookmarkEnd w:id="288"/>
    <w:bookmarkStart w:id="289"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186">
        <w:r>
          <w:rPr>
            <w:rStyle w:val="Hyperlink"/>
          </w:rPr>
          <w:t xml:space="preserve">https://doi.org/10.1007/s10654-016-0179-x</w:t>
        </w:r>
      </w:hyperlink>
    </w:p>
    <w:bookmarkEnd w:id="289"/>
    <w:bookmarkStart w:id="290" w:name="ref-Wang2015"/>
    <w:p>
      <w:pPr>
        <w:pStyle w:val="Bibliography"/>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188">
        <w:r>
          <w:rPr>
            <w:rStyle w:val="Hyperlink"/>
          </w:rPr>
          <w:t xml:space="preserve">https://doi.org/10.1007/s10654-015-0100-z</w:t>
        </w:r>
      </w:hyperlink>
    </w:p>
    <w:bookmarkEnd w:id="290"/>
    <w:bookmarkStart w:id="291"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64">
        <w:r>
          <w:rPr>
            <w:rStyle w:val="Hyperlink"/>
          </w:rPr>
          <w:t xml:space="preserve">https://doi.org/10.1016/j.physbeh.2020.112964</w:t>
        </w:r>
      </w:hyperlink>
    </w:p>
    <w:bookmarkEnd w:id="291"/>
    <w:bookmarkStart w:id="292"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190">
        <w:r>
          <w:rPr>
            <w:rStyle w:val="Hyperlink"/>
          </w:rPr>
          <w:t xml:space="preserve">https://doi.org/10.1016/j.cpr.2016.10.003</w:t>
        </w:r>
      </w:hyperlink>
    </w:p>
    <w:bookmarkEnd w:id="292"/>
    <w:bookmarkStart w:id="293"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66">
        <w:r>
          <w:rPr>
            <w:rStyle w:val="Hyperlink"/>
          </w:rPr>
          <w:t xml:space="preserve">https://doi.org/10.1016/j.jacasi.2024.06.004</w:t>
        </w:r>
      </w:hyperlink>
    </w:p>
    <w:bookmarkEnd w:id="293"/>
    <w:bookmarkStart w:id="294"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68">
        <w:r>
          <w:rPr>
            <w:rStyle w:val="Hyperlink"/>
          </w:rPr>
          <w:t xml:space="preserve">https://doi.org/10.7189/jogh.12.04082</w:t>
        </w:r>
      </w:hyperlink>
    </w:p>
    <w:bookmarkEnd w:id="294"/>
    <w:bookmarkEnd w:id="295"/>
    <w:bookmarkEnd w:id="2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0" Target="media/rId30.pdf" /><Relationship Type="http://schemas.openxmlformats.org/officeDocument/2006/relationships/image" Id="rId80" Target="media/rId80.pdf" /><Relationship Type="http://schemas.openxmlformats.org/officeDocument/2006/relationships/image" Id="rId99" Target="media/rId99.pdf" /><Relationship Type="http://schemas.openxmlformats.org/officeDocument/2006/relationships/image" Id="rId104" Target="media/rId104.pdf" /><Relationship Type="http://schemas.openxmlformats.org/officeDocument/2006/relationships/image" Id="rId109" Target="media/rId109.pdf" /><Relationship Type="http://schemas.openxmlformats.org/officeDocument/2006/relationships/hyperlink" Id="rId76" Target="http://www.bristol.ac.uk/alspac/researchers/our-data/" TargetMode="External" /><Relationship Type="http://schemas.openxmlformats.org/officeDocument/2006/relationships/hyperlink" Id="rId42" Target="https://doi.org/0.1007/978-3-030-39903-0_63" TargetMode="External" /><Relationship Type="http://schemas.openxmlformats.org/officeDocument/2006/relationships/hyperlink" Id="rId54" Target="https://doi.org/10.1001/archgenpsychiatry.2010.2" TargetMode="External" /><Relationship Type="http://schemas.openxmlformats.org/officeDocument/2006/relationships/hyperlink" Id="rId60" Target="https://doi.org/10.1001/archpsyc.58.3.221" TargetMode="External" /><Relationship Type="http://schemas.openxmlformats.org/officeDocument/2006/relationships/hyperlink" Id="rId56" Target="https://doi.org/10.1001/jamapediatrics.2024.4385" TargetMode="External" /><Relationship Type="http://schemas.openxmlformats.org/officeDocument/2006/relationships/hyperlink" Id="rId62" Target="https://doi.org/10.1002/gps.1723" TargetMode="External" /><Relationship Type="http://schemas.openxmlformats.org/officeDocument/2006/relationships/hyperlink" Id="rId139" Target="https://doi.org/10.1002/oby.21797" TargetMode="External" /><Relationship Type="http://schemas.openxmlformats.org/officeDocument/2006/relationships/hyperlink" Id="rId188" Target="https://doi.org/10.1007/s10654-015-0100-z" TargetMode="External" /><Relationship Type="http://schemas.openxmlformats.org/officeDocument/2006/relationships/hyperlink" Id="rId186" Target="https://doi.org/10.1007/s10654-016-0179-x" TargetMode="External" /><Relationship Type="http://schemas.openxmlformats.org/officeDocument/2006/relationships/hyperlink" Id="rId159" Target="https://doi.org/10.1007/s10654-016-0224-9" TargetMode="External" /><Relationship Type="http://schemas.openxmlformats.org/officeDocument/2006/relationships/hyperlink" Id="rId44" Target="https://doi.org/10.1007/s40653-021-00404-7" TargetMode="External" /><Relationship Type="http://schemas.openxmlformats.org/officeDocument/2006/relationships/hyperlink" Id="rId124" Target="https://doi.org/10.1016/S0140-6736(12)60240-2" TargetMode="External" /><Relationship Type="http://schemas.openxmlformats.org/officeDocument/2006/relationships/hyperlink" Id="rId40" Target="https://doi.org/10.1016/S0749-3797(98)00017-8" TargetMode="External" /><Relationship Type="http://schemas.openxmlformats.org/officeDocument/2006/relationships/hyperlink" Id="rId58" Target="https://doi.org/10.1016/j.ajp.2015.12.008" TargetMode="External" /><Relationship Type="http://schemas.openxmlformats.org/officeDocument/2006/relationships/hyperlink" Id="rId132" Target="https://doi.org/10.1016/j.chiabu.2016.11.024" TargetMode="External" /><Relationship Type="http://schemas.openxmlformats.org/officeDocument/2006/relationships/hyperlink" Id="rId190" Target="https://doi.org/10.1016/j.cpr.2016.10.003" TargetMode="External" /><Relationship Type="http://schemas.openxmlformats.org/officeDocument/2006/relationships/hyperlink" Id="rId48" Target="https://doi.org/10.1016/j.jaac.2019.10.011" TargetMode="External" /><Relationship Type="http://schemas.openxmlformats.org/officeDocument/2006/relationships/hyperlink" Id="rId73" Target="https://doi.org/10.1016/j.jaac.2023.05.034" TargetMode="External" /><Relationship Type="http://schemas.openxmlformats.org/officeDocument/2006/relationships/hyperlink" Id="rId66" Target="https://doi.org/10.1016/j.jacasi.2024.06.004" TargetMode="External" /><Relationship Type="http://schemas.openxmlformats.org/officeDocument/2006/relationships/hyperlink" Id="rId137" Target="https://doi.org/10.1016/j.jclinepi.2007.11.008" TargetMode="External" /><Relationship Type="http://schemas.openxmlformats.org/officeDocument/2006/relationships/hyperlink" Id="rId178" Target="https://doi.org/10.1016/j.jpeds.2013.11.003" TargetMode="External" /><Relationship Type="http://schemas.openxmlformats.org/officeDocument/2006/relationships/hyperlink" Id="rId184" Target="https://doi.org/10.1016/j.neubiorev.2017.07.003" TargetMode="External" /><Relationship Type="http://schemas.openxmlformats.org/officeDocument/2006/relationships/hyperlink" Id="rId64" Target="https://doi.org/10.1016/j.physbeh.2020.112964" TargetMode="External" /><Relationship Type="http://schemas.openxmlformats.org/officeDocument/2006/relationships/hyperlink" Id="rId195" Target="https://doi.org/10.1016/j.ypmed.2024.107926" TargetMode="External" /><Relationship Type="http://schemas.openxmlformats.org/officeDocument/2006/relationships/hyperlink" Id="rId134" Target="https://doi.org/10.1017/S0033291721004311" TargetMode="External" /><Relationship Type="http://schemas.openxmlformats.org/officeDocument/2006/relationships/hyperlink" Id="rId50" Target="https://doi.org/10.1017/s0033291715002743" TargetMode="External" /><Relationship Type="http://schemas.openxmlformats.org/officeDocument/2006/relationships/hyperlink" Id="rId157" Target="https://doi.org/10.1017/s0954579416000730" TargetMode="External" /><Relationship Type="http://schemas.openxmlformats.org/officeDocument/2006/relationships/hyperlink" Id="rId153" Target="https://doi.org/10.1017/s0954579418000548" TargetMode="External" /><Relationship Type="http://schemas.openxmlformats.org/officeDocument/2006/relationships/hyperlink" Id="rId149" Target="https://doi.org/10.1023/A:1022658222914" TargetMode="External" /><Relationship Type="http://schemas.openxmlformats.org/officeDocument/2006/relationships/hyperlink" Id="rId46"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30" Target="https://doi.org/10.1038/mp.2014.95" TargetMode="External" /><Relationship Type="http://schemas.openxmlformats.org/officeDocument/2006/relationships/hyperlink" Id="rId128" Target="https://doi.org/10.1038/s41366-019-0423-z" TargetMode="External" /><Relationship Type="http://schemas.openxmlformats.org/officeDocument/2006/relationships/hyperlink" Id="rId165" Target="https://doi.org/10.1080/07315724.2016.1261053" TargetMode="External" /><Relationship Type="http://schemas.openxmlformats.org/officeDocument/2006/relationships/hyperlink" Id="rId172" Target="https://doi.org/10.1080/15592294.2016.1145329" TargetMode="External" /><Relationship Type="http://schemas.openxmlformats.org/officeDocument/2006/relationships/hyperlink" Id="rId151" Target="https://doi.org/10.1093/eurheartj/eht462" TargetMode="External" /><Relationship Type="http://schemas.openxmlformats.org/officeDocument/2006/relationships/hyperlink" Id="rId126" Target="https://doi.org/10.1093/ije/dys064" TargetMode="External" /><Relationship Type="http://schemas.openxmlformats.org/officeDocument/2006/relationships/hyperlink" Id="rId145" Target="https://doi.org/10.1093/ije/dys066" TargetMode="External" /><Relationship Type="http://schemas.openxmlformats.org/officeDocument/2006/relationships/hyperlink" Id="rId141" Target="https://doi.org/10.1097/MCO.0b013e32835e8d80" TargetMode="External" /><Relationship Type="http://schemas.openxmlformats.org/officeDocument/2006/relationships/hyperlink" Id="rId174" Target="https://doi.org/10.1111/cdev.13825" TargetMode="External" /><Relationship Type="http://schemas.openxmlformats.org/officeDocument/2006/relationships/hyperlink" Id="rId155" Target="https://doi.org/10.1111/ijpo.12885" TargetMode="External" /><Relationship Type="http://schemas.openxmlformats.org/officeDocument/2006/relationships/hyperlink" Id="rId38" Target="https://doi.org/10.1126/science.847460" TargetMode="External" /><Relationship Type="http://schemas.openxmlformats.org/officeDocument/2006/relationships/hyperlink" Id="rId180" Target="https://doi.org/10.1136/archdischild-2017-314608" TargetMode="External" /><Relationship Type="http://schemas.openxmlformats.org/officeDocument/2006/relationships/hyperlink" Id="rId162" Target="https://doi.org/10.1152/ajpregu.00185.2016" TargetMode="External" /><Relationship Type="http://schemas.openxmlformats.org/officeDocument/2006/relationships/hyperlink" Id="rId143" Target="https://doi.org/10.1155/2012/632548" TargetMode="External" /><Relationship Type="http://schemas.openxmlformats.org/officeDocument/2006/relationships/hyperlink" Id="rId52" Target="https://doi.org/10.1177/15248380221102558" TargetMode="External" /><Relationship Type="http://schemas.openxmlformats.org/officeDocument/2006/relationships/hyperlink" Id="rId167" Target="https://doi.org/10.1192/bjp.bp.114.156620" TargetMode="External" /><Relationship Type="http://schemas.openxmlformats.org/officeDocument/2006/relationships/hyperlink" Id="rId182" Target="https://doi.org/10.1201/9780429492259" TargetMode="External" /><Relationship Type="http://schemas.openxmlformats.org/officeDocument/2006/relationships/hyperlink" Id="rId176" Target="https://doi.org/10.1542/peds.2011-2663" TargetMode="External" /><Relationship Type="http://schemas.openxmlformats.org/officeDocument/2006/relationships/hyperlink" Id="rId68" Target="https://doi.org/10.7189/jogh.12.04082" TargetMode="External" /><Relationship Type="http://schemas.openxmlformats.org/officeDocument/2006/relationships/hyperlink" Id="rId90" Target="https://github.com/SereDef/association-ELS-PCM-project" TargetMode="External" /><Relationship Type="http://schemas.openxmlformats.org/officeDocument/2006/relationships/hyperlink" Id="rId79" Target="https://github.com/SereDef/cumulative-ELS-score" TargetMode="External" /><Relationship Type="http://schemas.openxmlformats.org/officeDocument/2006/relationships/hyperlink" Id="rId17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76" Target="http://www.bristol.ac.uk/alspac/researchers/our-data/" TargetMode="External" /><Relationship Type="http://schemas.openxmlformats.org/officeDocument/2006/relationships/hyperlink" Id="rId42" Target="https://doi.org/0.1007/978-3-030-39903-0_63" TargetMode="External" /><Relationship Type="http://schemas.openxmlformats.org/officeDocument/2006/relationships/hyperlink" Id="rId54" Target="https://doi.org/10.1001/archgenpsychiatry.2010.2" TargetMode="External" /><Relationship Type="http://schemas.openxmlformats.org/officeDocument/2006/relationships/hyperlink" Id="rId60" Target="https://doi.org/10.1001/archpsyc.58.3.221" TargetMode="External" /><Relationship Type="http://schemas.openxmlformats.org/officeDocument/2006/relationships/hyperlink" Id="rId56" Target="https://doi.org/10.1001/jamapediatrics.2024.4385" TargetMode="External" /><Relationship Type="http://schemas.openxmlformats.org/officeDocument/2006/relationships/hyperlink" Id="rId62" Target="https://doi.org/10.1002/gps.1723" TargetMode="External" /><Relationship Type="http://schemas.openxmlformats.org/officeDocument/2006/relationships/hyperlink" Id="rId139" Target="https://doi.org/10.1002/oby.21797" TargetMode="External" /><Relationship Type="http://schemas.openxmlformats.org/officeDocument/2006/relationships/hyperlink" Id="rId188" Target="https://doi.org/10.1007/s10654-015-0100-z" TargetMode="External" /><Relationship Type="http://schemas.openxmlformats.org/officeDocument/2006/relationships/hyperlink" Id="rId186" Target="https://doi.org/10.1007/s10654-016-0179-x" TargetMode="External" /><Relationship Type="http://schemas.openxmlformats.org/officeDocument/2006/relationships/hyperlink" Id="rId159" Target="https://doi.org/10.1007/s10654-016-0224-9" TargetMode="External" /><Relationship Type="http://schemas.openxmlformats.org/officeDocument/2006/relationships/hyperlink" Id="rId44" Target="https://doi.org/10.1007/s40653-021-00404-7" TargetMode="External" /><Relationship Type="http://schemas.openxmlformats.org/officeDocument/2006/relationships/hyperlink" Id="rId124" Target="https://doi.org/10.1016/S0140-6736(12)60240-2" TargetMode="External" /><Relationship Type="http://schemas.openxmlformats.org/officeDocument/2006/relationships/hyperlink" Id="rId40" Target="https://doi.org/10.1016/S0749-3797(98)00017-8" TargetMode="External" /><Relationship Type="http://schemas.openxmlformats.org/officeDocument/2006/relationships/hyperlink" Id="rId58" Target="https://doi.org/10.1016/j.ajp.2015.12.008" TargetMode="External" /><Relationship Type="http://schemas.openxmlformats.org/officeDocument/2006/relationships/hyperlink" Id="rId132" Target="https://doi.org/10.1016/j.chiabu.2016.11.024" TargetMode="External" /><Relationship Type="http://schemas.openxmlformats.org/officeDocument/2006/relationships/hyperlink" Id="rId190" Target="https://doi.org/10.1016/j.cpr.2016.10.003" TargetMode="External" /><Relationship Type="http://schemas.openxmlformats.org/officeDocument/2006/relationships/hyperlink" Id="rId48" Target="https://doi.org/10.1016/j.jaac.2019.10.011" TargetMode="External" /><Relationship Type="http://schemas.openxmlformats.org/officeDocument/2006/relationships/hyperlink" Id="rId73" Target="https://doi.org/10.1016/j.jaac.2023.05.034" TargetMode="External" /><Relationship Type="http://schemas.openxmlformats.org/officeDocument/2006/relationships/hyperlink" Id="rId66" Target="https://doi.org/10.1016/j.jacasi.2024.06.004" TargetMode="External" /><Relationship Type="http://schemas.openxmlformats.org/officeDocument/2006/relationships/hyperlink" Id="rId137" Target="https://doi.org/10.1016/j.jclinepi.2007.11.008" TargetMode="External" /><Relationship Type="http://schemas.openxmlformats.org/officeDocument/2006/relationships/hyperlink" Id="rId178" Target="https://doi.org/10.1016/j.jpeds.2013.11.003" TargetMode="External" /><Relationship Type="http://schemas.openxmlformats.org/officeDocument/2006/relationships/hyperlink" Id="rId184" Target="https://doi.org/10.1016/j.neubiorev.2017.07.003" TargetMode="External" /><Relationship Type="http://schemas.openxmlformats.org/officeDocument/2006/relationships/hyperlink" Id="rId64" Target="https://doi.org/10.1016/j.physbeh.2020.112964" TargetMode="External" /><Relationship Type="http://schemas.openxmlformats.org/officeDocument/2006/relationships/hyperlink" Id="rId195" Target="https://doi.org/10.1016/j.ypmed.2024.107926" TargetMode="External" /><Relationship Type="http://schemas.openxmlformats.org/officeDocument/2006/relationships/hyperlink" Id="rId134" Target="https://doi.org/10.1017/S0033291721004311" TargetMode="External" /><Relationship Type="http://schemas.openxmlformats.org/officeDocument/2006/relationships/hyperlink" Id="rId50" Target="https://doi.org/10.1017/s0033291715002743" TargetMode="External" /><Relationship Type="http://schemas.openxmlformats.org/officeDocument/2006/relationships/hyperlink" Id="rId157" Target="https://doi.org/10.1017/s0954579416000730" TargetMode="External" /><Relationship Type="http://schemas.openxmlformats.org/officeDocument/2006/relationships/hyperlink" Id="rId153" Target="https://doi.org/10.1017/s0954579418000548" TargetMode="External" /><Relationship Type="http://schemas.openxmlformats.org/officeDocument/2006/relationships/hyperlink" Id="rId149" Target="https://doi.org/10.1023/A:1022658222914" TargetMode="External" /><Relationship Type="http://schemas.openxmlformats.org/officeDocument/2006/relationships/hyperlink" Id="rId46"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30" Target="https://doi.org/10.1038/mp.2014.95" TargetMode="External" /><Relationship Type="http://schemas.openxmlformats.org/officeDocument/2006/relationships/hyperlink" Id="rId128" Target="https://doi.org/10.1038/s41366-019-0423-z" TargetMode="External" /><Relationship Type="http://schemas.openxmlformats.org/officeDocument/2006/relationships/hyperlink" Id="rId165" Target="https://doi.org/10.1080/07315724.2016.1261053" TargetMode="External" /><Relationship Type="http://schemas.openxmlformats.org/officeDocument/2006/relationships/hyperlink" Id="rId172" Target="https://doi.org/10.1080/15592294.2016.1145329" TargetMode="External" /><Relationship Type="http://schemas.openxmlformats.org/officeDocument/2006/relationships/hyperlink" Id="rId151" Target="https://doi.org/10.1093/eurheartj/eht462" TargetMode="External" /><Relationship Type="http://schemas.openxmlformats.org/officeDocument/2006/relationships/hyperlink" Id="rId126" Target="https://doi.org/10.1093/ije/dys064" TargetMode="External" /><Relationship Type="http://schemas.openxmlformats.org/officeDocument/2006/relationships/hyperlink" Id="rId145" Target="https://doi.org/10.1093/ije/dys066" TargetMode="External" /><Relationship Type="http://schemas.openxmlformats.org/officeDocument/2006/relationships/hyperlink" Id="rId141" Target="https://doi.org/10.1097/MCO.0b013e32835e8d80" TargetMode="External" /><Relationship Type="http://schemas.openxmlformats.org/officeDocument/2006/relationships/hyperlink" Id="rId174" Target="https://doi.org/10.1111/cdev.13825" TargetMode="External" /><Relationship Type="http://schemas.openxmlformats.org/officeDocument/2006/relationships/hyperlink" Id="rId155" Target="https://doi.org/10.1111/ijpo.12885" TargetMode="External" /><Relationship Type="http://schemas.openxmlformats.org/officeDocument/2006/relationships/hyperlink" Id="rId38" Target="https://doi.org/10.1126/science.847460" TargetMode="External" /><Relationship Type="http://schemas.openxmlformats.org/officeDocument/2006/relationships/hyperlink" Id="rId180" Target="https://doi.org/10.1136/archdischild-2017-314608" TargetMode="External" /><Relationship Type="http://schemas.openxmlformats.org/officeDocument/2006/relationships/hyperlink" Id="rId162" Target="https://doi.org/10.1152/ajpregu.00185.2016" TargetMode="External" /><Relationship Type="http://schemas.openxmlformats.org/officeDocument/2006/relationships/hyperlink" Id="rId143" Target="https://doi.org/10.1155/2012/632548" TargetMode="External" /><Relationship Type="http://schemas.openxmlformats.org/officeDocument/2006/relationships/hyperlink" Id="rId52" Target="https://doi.org/10.1177/15248380221102558" TargetMode="External" /><Relationship Type="http://schemas.openxmlformats.org/officeDocument/2006/relationships/hyperlink" Id="rId167" Target="https://doi.org/10.1192/bjp.bp.114.156620" TargetMode="External" /><Relationship Type="http://schemas.openxmlformats.org/officeDocument/2006/relationships/hyperlink" Id="rId182" Target="https://doi.org/10.1201/9780429492259" TargetMode="External" /><Relationship Type="http://schemas.openxmlformats.org/officeDocument/2006/relationships/hyperlink" Id="rId176" Target="https://doi.org/10.1542/peds.2011-2663" TargetMode="External" /><Relationship Type="http://schemas.openxmlformats.org/officeDocument/2006/relationships/hyperlink" Id="rId68" Target="https://doi.org/10.7189/jogh.12.04082" TargetMode="External" /><Relationship Type="http://schemas.openxmlformats.org/officeDocument/2006/relationships/hyperlink" Id="rId90" Target="https://github.com/SereDef/association-ELS-PCM-project" TargetMode="External" /><Relationship Type="http://schemas.openxmlformats.org/officeDocument/2006/relationships/hyperlink" Id="rId79" Target="https://github.com/SereDef/cumulative-ELS-score" TargetMode="External" /><Relationship Type="http://schemas.openxmlformats.org/officeDocument/2006/relationships/hyperlink" Id="rId17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
  <cp:keywords/>
  <dcterms:created xsi:type="dcterms:W3CDTF">2025-04-10T20:34:01Z</dcterms:created>
  <dcterms:modified xsi:type="dcterms:W3CDTF">2025-04-10T20:34:01Z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csl">
    <vt:lpwstr>apa.csl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number-depth">
    <vt:lpwstr>3</vt:lpwstr>
  </property>
  <property fmtid="{D5CDD505-2E9C-101B-9397-08002B2CF9AE}" pid="12" name="reference-section-title">
    <vt:lpwstr>References</vt:lpwstr>
  </property>
  <property fmtid="{D5CDD505-2E9C-101B-9397-08002B2CF9AE}" pid="13" name="subtitle">
    <vt:lpwstr>Early-life stress exposure and the co-occurrence of mental and physical health problems</vt:lpwstr>
  </property>
  <property fmtid="{D5CDD505-2E9C-101B-9397-08002B2CF9AE}" pid="14" name="template-partials">
    <vt:lpwstr/>
  </property>
  <property fmtid="{D5CDD505-2E9C-101B-9397-08002B2CF9AE}" pid="15" name="toc-title">
    <vt:lpwstr>Table of contents</vt:lpwstr>
  </property>
</Properties>
</file>